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楷体" w:hAnsi="楷体" w:eastAsia="楷体"/>
          <w:bCs/>
          <w:sz w:val="24"/>
          <w:szCs w:val="24"/>
        </w:rPr>
      </w:pPr>
      <w:r>
        <w:rPr>
          <w:rFonts w:hint="eastAsia" w:ascii="楷体" w:hAnsi="楷体" w:eastAsia="楷体"/>
          <w:bCs/>
          <w:sz w:val="24"/>
          <w:szCs w:val="24"/>
        </w:rPr>
        <w:t>管理体系审核记录表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311"/>
        <w:gridCol w:w="10152"/>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809" w:type="dxa"/>
            <w:vMerge w:val="restart"/>
            <w:vAlign w:val="center"/>
          </w:tcPr>
          <w:p>
            <w:pPr>
              <w:spacing w:before="120" w:line="360" w:lineRule="auto"/>
              <w:jc w:val="center"/>
              <w:rPr>
                <w:rFonts w:ascii="楷体" w:hAnsi="楷体" w:eastAsia="楷体"/>
                <w:sz w:val="24"/>
                <w:szCs w:val="24"/>
              </w:rPr>
            </w:pPr>
            <w:r>
              <w:rPr>
                <w:rFonts w:hint="eastAsia" w:ascii="楷体" w:hAnsi="楷体" w:eastAsia="楷体"/>
                <w:sz w:val="24"/>
                <w:szCs w:val="24"/>
              </w:rPr>
              <w:t>过程与活动、</w:t>
            </w:r>
          </w:p>
          <w:p>
            <w:pPr>
              <w:spacing w:line="360" w:lineRule="auto"/>
              <w:jc w:val="center"/>
              <w:rPr>
                <w:rFonts w:ascii="楷体" w:hAnsi="楷体" w:eastAsia="楷体"/>
                <w:sz w:val="24"/>
                <w:szCs w:val="24"/>
              </w:rPr>
            </w:pPr>
            <w:r>
              <w:rPr>
                <w:rFonts w:hint="eastAsia" w:ascii="楷体" w:hAnsi="楷体" w:eastAsia="楷体"/>
                <w:sz w:val="24"/>
                <w:szCs w:val="24"/>
              </w:rPr>
              <w:t>抽样计划</w:t>
            </w:r>
          </w:p>
        </w:tc>
        <w:tc>
          <w:tcPr>
            <w:tcW w:w="1311" w:type="dxa"/>
            <w:vMerge w:val="restart"/>
            <w:vAlign w:val="center"/>
          </w:tcPr>
          <w:p>
            <w:pPr>
              <w:spacing w:line="360" w:lineRule="auto"/>
              <w:rPr>
                <w:rFonts w:ascii="楷体" w:hAnsi="楷体" w:eastAsia="楷体"/>
                <w:sz w:val="24"/>
                <w:szCs w:val="24"/>
              </w:rPr>
            </w:pPr>
            <w:r>
              <w:rPr>
                <w:rFonts w:hint="eastAsia" w:ascii="楷体" w:hAnsi="楷体" w:eastAsia="楷体"/>
                <w:sz w:val="24"/>
                <w:szCs w:val="24"/>
              </w:rPr>
              <w:t>涉及条款</w:t>
            </w:r>
          </w:p>
        </w:tc>
        <w:tc>
          <w:tcPr>
            <w:tcW w:w="10152" w:type="dxa"/>
            <w:vAlign w:val="center"/>
          </w:tcPr>
          <w:p>
            <w:pPr>
              <w:spacing w:line="360" w:lineRule="auto"/>
              <w:rPr>
                <w:rFonts w:ascii="楷体" w:hAnsi="楷体" w:eastAsia="楷体"/>
                <w:sz w:val="24"/>
                <w:szCs w:val="24"/>
              </w:rPr>
            </w:pPr>
            <w:r>
              <w:rPr>
                <w:rFonts w:hint="eastAsia" w:ascii="楷体" w:hAnsi="楷体" w:eastAsia="楷体"/>
                <w:sz w:val="24"/>
                <w:szCs w:val="24"/>
              </w:rPr>
              <w:t>受审核部门：</w:t>
            </w:r>
            <w:r>
              <w:rPr>
                <w:rFonts w:hint="eastAsia" w:ascii="楷体" w:hAnsi="楷体" w:eastAsia="楷体"/>
                <w:sz w:val="24"/>
                <w:szCs w:val="24"/>
                <w:lang w:val="en-US" w:eastAsia="zh-CN"/>
              </w:rPr>
              <w:t>综合</w:t>
            </w:r>
            <w:r>
              <w:rPr>
                <w:rFonts w:hint="eastAsia" w:ascii="楷体" w:hAnsi="楷体" w:eastAsia="楷体"/>
                <w:sz w:val="24"/>
                <w:szCs w:val="24"/>
              </w:rPr>
              <w:t>部     主管领导：王云倩      陪同人员：陈美云</w:t>
            </w:r>
          </w:p>
        </w:tc>
        <w:tc>
          <w:tcPr>
            <w:tcW w:w="1437" w:type="dxa"/>
            <w:vMerge w:val="restart"/>
            <w:vAlign w:val="center"/>
          </w:tcPr>
          <w:p>
            <w:pPr>
              <w:spacing w:line="360" w:lineRule="auto"/>
              <w:rPr>
                <w:rFonts w:ascii="楷体" w:hAnsi="楷体" w:eastAsia="楷体"/>
                <w:sz w:val="24"/>
                <w:szCs w:val="24"/>
              </w:rPr>
            </w:pPr>
            <w:r>
              <w:rPr>
                <w:rFonts w:hint="eastAsia" w:ascii="楷体" w:hAnsi="楷体" w:eastAsia="楷体"/>
                <w:sz w:val="24"/>
                <w:szCs w:val="24"/>
              </w:rPr>
              <w:t>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809" w:type="dxa"/>
            <w:vMerge w:val="continue"/>
            <w:vAlign w:val="center"/>
          </w:tcPr>
          <w:p>
            <w:pPr>
              <w:spacing w:line="360" w:lineRule="auto"/>
              <w:rPr>
                <w:rFonts w:ascii="楷体" w:hAnsi="楷体" w:eastAsia="楷体"/>
                <w:sz w:val="24"/>
                <w:szCs w:val="24"/>
              </w:rPr>
            </w:pPr>
          </w:p>
        </w:tc>
        <w:tc>
          <w:tcPr>
            <w:tcW w:w="1311" w:type="dxa"/>
            <w:vMerge w:val="continue"/>
            <w:vAlign w:val="center"/>
          </w:tcPr>
          <w:p>
            <w:pPr>
              <w:spacing w:line="360" w:lineRule="auto"/>
              <w:rPr>
                <w:rFonts w:ascii="楷体" w:hAnsi="楷体" w:eastAsia="楷体"/>
                <w:sz w:val="24"/>
                <w:szCs w:val="24"/>
              </w:rPr>
            </w:pPr>
          </w:p>
        </w:tc>
        <w:tc>
          <w:tcPr>
            <w:tcW w:w="10152" w:type="dxa"/>
            <w:vAlign w:val="center"/>
          </w:tcPr>
          <w:p>
            <w:pPr>
              <w:spacing w:before="120" w:line="360" w:lineRule="auto"/>
              <w:rPr>
                <w:rFonts w:hint="eastAsia" w:ascii="楷体" w:hAnsi="楷体" w:eastAsia="楷体"/>
                <w:sz w:val="24"/>
                <w:szCs w:val="24"/>
                <w:lang w:eastAsia="zh-CN"/>
              </w:rPr>
            </w:pPr>
            <w:r>
              <w:rPr>
                <w:rFonts w:hint="eastAsia" w:ascii="楷体" w:hAnsi="楷体" w:eastAsia="楷体"/>
                <w:sz w:val="24"/>
                <w:szCs w:val="24"/>
              </w:rPr>
              <w:t>审核员：</w:t>
            </w:r>
            <w:r>
              <w:rPr>
                <w:rFonts w:hint="eastAsia" w:ascii="楷体" w:hAnsi="楷体" w:eastAsia="楷体"/>
                <w:sz w:val="24"/>
                <w:szCs w:val="24"/>
                <w:lang w:val="en-US" w:eastAsia="zh-CN"/>
              </w:rPr>
              <w:t>李俐</w:t>
            </w:r>
            <w:r>
              <w:rPr>
                <w:rFonts w:hint="eastAsia" w:ascii="楷体" w:hAnsi="楷体" w:eastAsia="楷体"/>
                <w:sz w:val="24"/>
                <w:szCs w:val="24"/>
              </w:rPr>
              <w:t xml:space="preserve">        审核时间：20</w:t>
            </w:r>
            <w:r>
              <w:rPr>
                <w:rFonts w:hint="eastAsia" w:ascii="楷体" w:hAnsi="楷体" w:eastAsia="楷体"/>
                <w:sz w:val="24"/>
                <w:szCs w:val="24"/>
                <w:lang w:val="en-US" w:eastAsia="zh-CN"/>
              </w:rPr>
              <w:t>20</w:t>
            </w:r>
            <w:r>
              <w:rPr>
                <w:rFonts w:hint="eastAsia" w:ascii="楷体" w:hAnsi="楷体" w:eastAsia="楷体"/>
                <w:sz w:val="24"/>
                <w:szCs w:val="24"/>
              </w:rPr>
              <w:t>.</w:t>
            </w:r>
            <w:r>
              <w:rPr>
                <w:rFonts w:hint="eastAsia" w:ascii="楷体" w:hAnsi="楷体" w:eastAsia="楷体"/>
                <w:sz w:val="24"/>
                <w:szCs w:val="24"/>
                <w:lang w:val="en-US" w:eastAsia="zh-CN"/>
              </w:rPr>
              <w:t>7</w:t>
            </w:r>
            <w:r>
              <w:rPr>
                <w:rFonts w:hint="eastAsia" w:ascii="楷体" w:hAnsi="楷体" w:eastAsia="楷体"/>
                <w:sz w:val="24"/>
                <w:szCs w:val="24"/>
              </w:rPr>
              <w:t>.</w:t>
            </w:r>
            <w:r>
              <w:rPr>
                <w:rFonts w:hint="eastAsia" w:ascii="楷体" w:hAnsi="楷体" w:eastAsia="楷体"/>
                <w:sz w:val="24"/>
                <w:szCs w:val="24"/>
                <w:lang w:val="en-US" w:eastAsia="zh-CN"/>
              </w:rPr>
              <w:t>5</w:t>
            </w:r>
          </w:p>
        </w:tc>
        <w:tc>
          <w:tcPr>
            <w:tcW w:w="1437" w:type="dxa"/>
            <w:vMerge w:val="continue"/>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Merge w:val="continue"/>
            <w:vAlign w:val="center"/>
          </w:tcPr>
          <w:p>
            <w:pPr>
              <w:spacing w:line="360" w:lineRule="auto"/>
              <w:rPr>
                <w:rFonts w:ascii="楷体" w:hAnsi="楷体" w:eastAsia="楷体"/>
                <w:sz w:val="24"/>
                <w:szCs w:val="24"/>
              </w:rPr>
            </w:pPr>
          </w:p>
        </w:tc>
        <w:tc>
          <w:tcPr>
            <w:tcW w:w="1311" w:type="dxa"/>
            <w:vMerge w:val="continue"/>
            <w:vAlign w:val="center"/>
          </w:tcPr>
          <w:p>
            <w:pPr>
              <w:spacing w:line="360" w:lineRule="auto"/>
              <w:rPr>
                <w:rFonts w:ascii="楷体" w:hAnsi="楷体" w:eastAsia="楷体"/>
                <w:sz w:val="24"/>
                <w:szCs w:val="24"/>
              </w:rPr>
            </w:pPr>
          </w:p>
        </w:tc>
        <w:tc>
          <w:tcPr>
            <w:tcW w:w="10152" w:type="dxa"/>
            <w:vAlign w:val="center"/>
          </w:tcPr>
          <w:p>
            <w:pPr>
              <w:adjustRightInd w:val="0"/>
              <w:snapToGrid w:val="0"/>
              <w:spacing w:line="360" w:lineRule="auto"/>
              <w:ind w:right="105" w:rightChars="50"/>
              <w:jc w:val="left"/>
              <w:textAlignment w:val="baseline"/>
            </w:pPr>
            <w:r>
              <w:rPr>
                <w:rFonts w:hint="eastAsia"/>
              </w:rPr>
              <w:t>审核条款：</w:t>
            </w:r>
          </w:p>
          <w:p>
            <w:pPr>
              <w:pStyle w:val="2"/>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QMS：5.3组织的角色、职责和权限；6.2目标及其实现的策划；7.1.2人员；7.1.6组织知识；7.2能力；7.3意识；7.4沟通；7.5文件化信息；</w:t>
            </w:r>
          </w:p>
          <w:p>
            <w:pPr>
              <w:pStyle w:val="2"/>
              <w:spacing w:line="360" w:lineRule="auto"/>
            </w:pPr>
            <w:r>
              <w:rPr>
                <w:rFonts w:hint="eastAsia" w:ascii="宋体" w:hAnsi="宋体" w:eastAsia="宋体" w:cs="宋体"/>
                <w:b w:val="0"/>
                <w:bCs w:val="0"/>
                <w:sz w:val="21"/>
                <w:szCs w:val="21"/>
              </w:rPr>
              <w:t>OHSMS： 4.3.1危险源识别、评价与控制措施；4.3.2法规与其他要求；4.3.3目标与方案；4.4.2能力、培训和意识；4.4.3沟通、参与和协商；4.4.5文件控制；4.4.6运行控制；4.4.7应急准备与响应；4.5.1监视与测量；4.5.2合规性评价；4.5.3事件调查、不符合、纠正措施与预防措施；4.5.4记录控制/OHSMS运行控制财务支出证据</w:t>
            </w:r>
          </w:p>
        </w:tc>
        <w:tc>
          <w:tcPr>
            <w:tcW w:w="1437" w:type="dxa"/>
            <w:vMerge w:val="continue"/>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spacing w:line="360" w:lineRule="auto"/>
              <w:rPr>
                <w:rFonts w:hint="eastAsia"/>
              </w:rPr>
            </w:pPr>
            <w:r>
              <w:rPr>
                <w:rFonts w:hint="eastAsia"/>
              </w:rPr>
              <w:t>组织的角色、职责和权限</w:t>
            </w:r>
          </w:p>
          <w:p>
            <w:pPr>
              <w:pStyle w:val="2"/>
            </w:pPr>
            <w:r>
              <w:rPr>
                <w:rFonts w:hint="eastAsia" w:ascii="宋体" w:hAnsi="宋体" w:eastAsia="宋体" w:cs="宋体"/>
                <w:b w:val="0"/>
                <w:bCs w:val="0"/>
                <w:sz w:val="21"/>
                <w:szCs w:val="21"/>
              </w:rPr>
              <w:t>沟通、参与和协商</w:t>
            </w:r>
          </w:p>
        </w:tc>
        <w:tc>
          <w:tcPr>
            <w:tcW w:w="1311" w:type="dxa"/>
            <w:vAlign w:val="center"/>
          </w:tcPr>
          <w:p>
            <w:pPr>
              <w:spacing w:line="360" w:lineRule="auto"/>
              <w:textAlignment w:val="baseline"/>
              <w:rPr>
                <w:rFonts w:hint="eastAsia" w:ascii="宋体" w:hAnsi="宋体" w:cs="宋体"/>
                <w:sz w:val="21"/>
                <w:szCs w:val="21"/>
              </w:rPr>
            </w:pPr>
            <w:r>
              <w:rPr>
                <w:rFonts w:hint="eastAsia" w:ascii="宋体" w:hAnsi="宋体" w:cs="宋体"/>
                <w:sz w:val="21"/>
                <w:szCs w:val="21"/>
              </w:rPr>
              <w:t>Q</w:t>
            </w:r>
            <w:r>
              <w:rPr>
                <w:rFonts w:hint="eastAsia" w:ascii="宋体" w:hAnsi="宋体" w:cs="宋体"/>
                <w:sz w:val="21"/>
                <w:szCs w:val="21"/>
                <w:lang w:eastAsia="zh-CN"/>
              </w:rPr>
              <w:t>：</w:t>
            </w:r>
            <w:r>
              <w:rPr>
                <w:rFonts w:hint="eastAsia" w:ascii="宋体" w:hAnsi="宋体" w:cs="宋体"/>
                <w:sz w:val="21"/>
                <w:szCs w:val="21"/>
              </w:rPr>
              <w:t>5.3</w:t>
            </w:r>
          </w:p>
          <w:p>
            <w:pPr>
              <w:spacing w:line="360" w:lineRule="auto"/>
              <w:textAlignment w:val="baseline"/>
              <w:rPr>
                <w:rFonts w:hint="eastAsia" w:ascii="宋体" w:hAnsi="宋体" w:cs="宋体"/>
                <w:sz w:val="21"/>
                <w:szCs w:val="21"/>
              </w:rPr>
            </w:pPr>
            <w:r>
              <w:rPr>
                <w:rFonts w:hint="eastAsia" w:ascii="宋体" w:hAnsi="宋体" w:cs="宋体"/>
                <w:sz w:val="21"/>
                <w:szCs w:val="21"/>
                <w:lang w:val="en-US" w:eastAsia="zh-CN"/>
              </w:rPr>
              <w:t>O：</w:t>
            </w:r>
            <w:r>
              <w:rPr>
                <w:rFonts w:hint="eastAsia" w:ascii="宋体" w:hAnsi="宋体" w:cs="宋体"/>
                <w:sz w:val="21"/>
                <w:szCs w:val="21"/>
              </w:rPr>
              <w:t>4.4.1</w:t>
            </w:r>
          </w:p>
          <w:p>
            <w:pPr>
              <w:rPr>
                <w:rFonts w:hint="eastAsia" w:ascii="宋体" w:hAnsi="宋体" w:eastAsia="宋体" w:cs="宋体"/>
                <w:b/>
                <w:kern w:val="2"/>
                <w:sz w:val="21"/>
                <w:szCs w:val="21"/>
                <w:lang w:val="en-US" w:eastAsia="zh-CN" w:bidi="ar-SA"/>
              </w:rPr>
            </w:pPr>
            <w:r>
              <w:rPr>
                <w:rFonts w:hint="eastAsia" w:ascii="宋体" w:hAnsi="宋体" w:eastAsia="宋体" w:cs="宋体"/>
                <w:b w:val="0"/>
                <w:bCs w:val="0"/>
                <w:sz w:val="21"/>
                <w:szCs w:val="21"/>
                <w:lang w:val="en-US" w:eastAsia="zh-CN"/>
              </w:rPr>
              <w:t>O：</w:t>
            </w:r>
            <w:r>
              <w:rPr>
                <w:rFonts w:hint="eastAsia" w:ascii="宋体" w:hAnsi="宋体" w:eastAsia="宋体" w:cs="宋体"/>
                <w:b w:val="0"/>
                <w:bCs w:val="0"/>
                <w:sz w:val="21"/>
                <w:szCs w:val="21"/>
              </w:rPr>
              <w:t>4.4.3</w:t>
            </w:r>
          </w:p>
        </w:tc>
        <w:tc>
          <w:tcPr>
            <w:tcW w:w="10152" w:type="dxa"/>
            <w:vAlign w:val="center"/>
          </w:tcPr>
          <w:p>
            <w:pPr>
              <w:spacing w:line="360" w:lineRule="auto"/>
              <w:rPr>
                <w:rFonts w:hint="eastAsia" w:ascii="宋体" w:hAnsi="宋体" w:cs="宋体"/>
                <w:color w:val="000000"/>
                <w:sz w:val="21"/>
                <w:szCs w:val="21"/>
                <w:lang w:val="en-US"/>
              </w:rPr>
            </w:pPr>
            <w:r>
              <w:rPr>
                <w:rFonts w:hint="eastAsia" w:ascii="宋体" w:hAnsi="宋体" w:cs="宋体"/>
                <w:color w:val="000000"/>
                <w:sz w:val="21"/>
                <w:szCs w:val="21"/>
              </w:rPr>
              <w:t>面谈人员</w:t>
            </w:r>
            <w:r>
              <w:rPr>
                <w:rFonts w:hint="eastAsia" w:ascii="宋体" w:hAnsi="宋体" w:cs="宋体"/>
                <w:color w:val="000000"/>
                <w:sz w:val="21"/>
                <w:szCs w:val="21"/>
                <w:lang w:eastAsia="zh-CN"/>
              </w:rPr>
              <w:t>：行政部</w:t>
            </w:r>
            <w:r>
              <w:rPr>
                <w:rFonts w:hint="eastAsia" w:ascii="宋体" w:hAnsi="宋体" w:cs="宋体"/>
                <w:color w:val="000000"/>
                <w:sz w:val="21"/>
                <w:szCs w:val="21"/>
                <w:lang w:val="en-US" w:eastAsia="zh-CN"/>
              </w:rPr>
              <w:t>负责人：</w:t>
            </w:r>
            <w:r>
              <w:rPr>
                <w:rFonts w:hint="eastAsia" w:ascii="宋体" w:hAnsi="宋体" w:eastAsia="宋体" w:cs="宋体"/>
                <w:sz w:val="21"/>
                <w:szCs w:val="21"/>
                <w:lang w:val="en-US" w:eastAsia="zh-CN"/>
              </w:rPr>
              <w:t>王云倩</w:t>
            </w:r>
            <w:r>
              <w:rPr>
                <w:rFonts w:hint="eastAsia" w:ascii="宋体" w:hAnsi="宋体" w:cs="宋体"/>
                <w:color w:val="000000"/>
                <w:sz w:val="21"/>
                <w:szCs w:val="21"/>
                <w:lang w:val="en-US" w:eastAsia="zh-CN"/>
              </w:rPr>
              <w:t>，该部门现有5人。</w:t>
            </w:r>
          </w:p>
          <w:p>
            <w:pPr>
              <w:spacing w:line="360" w:lineRule="auto"/>
              <w:rPr>
                <w:rFonts w:hint="eastAsia" w:ascii="宋体" w:hAnsi="宋体" w:cs="宋体"/>
                <w:color w:val="000000"/>
                <w:sz w:val="21"/>
                <w:szCs w:val="21"/>
              </w:rPr>
            </w:pPr>
            <w:r>
              <w:rPr>
                <w:rFonts w:hint="eastAsia" w:ascii="宋体" w:hAnsi="宋体" w:cs="宋体"/>
                <w:color w:val="000000"/>
                <w:sz w:val="21"/>
                <w:szCs w:val="21"/>
              </w:rPr>
              <w:t>询问部门负责人本部门的职责和权限有：主要负责人力资源的管理、文件管理、环境因素、危险源识别、运行控制、法律法规识别、合规性评价、环境和职业健康安全运行绩效的检查以及参与内部质量审核等工作。部门负责人对本部门的职责和权限以及工作流程清楚、明确。</w:t>
            </w:r>
          </w:p>
          <w:p>
            <w:pPr>
              <w:spacing w:line="360" w:lineRule="auto"/>
              <w:rPr>
                <w:rFonts w:hint="eastAsia" w:ascii="宋体" w:hAnsi="宋体" w:cs="宋体"/>
                <w:color w:val="000000"/>
                <w:sz w:val="21"/>
                <w:szCs w:val="21"/>
              </w:rPr>
            </w:pPr>
            <w:r>
              <w:rPr>
                <w:rFonts w:hint="eastAsia" w:ascii="宋体" w:hAnsi="宋体" w:cs="宋体"/>
                <w:color w:val="000000"/>
                <w:sz w:val="21"/>
                <w:szCs w:val="21"/>
              </w:rPr>
              <w:t>在《岗位职责及任职要求》中规定了</w:t>
            </w:r>
            <w:r>
              <w:rPr>
                <w:rFonts w:hint="eastAsia" w:ascii="宋体" w:hAnsi="宋体" w:cs="宋体"/>
                <w:color w:val="000000"/>
                <w:sz w:val="21"/>
                <w:szCs w:val="21"/>
                <w:lang w:eastAsia="zh-CN"/>
              </w:rPr>
              <w:t>行政部</w:t>
            </w:r>
            <w:r>
              <w:rPr>
                <w:rFonts w:hint="eastAsia" w:ascii="宋体" w:hAnsi="宋体" w:cs="宋体"/>
                <w:color w:val="000000"/>
                <w:sz w:val="21"/>
                <w:szCs w:val="21"/>
              </w:rPr>
              <w:t>的安全职责和权限，以确保部门工作的展开和实施：</w:t>
            </w:r>
          </w:p>
          <w:p>
            <w:pPr>
              <w:spacing w:line="360" w:lineRule="auto"/>
              <w:rPr>
                <w:rFonts w:hint="eastAsia" w:ascii="宋体" w:hAnsi="宋体" w:cs="宋体"/>
                <w:color w:val="000000"/>
                <w:sz w:val="21"/>
                <w:szCs w:val="21"/>
              </w:rPr>
            </w:pPr>
            <w:r>
              <w:rPr>
                <w:rFonts w:hint="eastAsia" w:ascii="宋体" w:hAnsi="宋体" w:cs="宋体"/>
                <w:color w:val="000000"/>
                <w:sz w:val="21"/>
                <w:szCs w:val="21"/>
              </w:rPr>
              <w:t>负责公司人员的招聘、选择、试用、聘用及处理</w:t>
            </w:r>
            <w:r>
              <w:rPr>
                <w:rFonts w:hint="eastAsia" w:ascii="宋体" w:hAnsi="宋体" w:cs="宋体"/>
                <w:color w:val="000000"/>
                <w:sz w:val="21"/>
                <w:szCs w:val="21"/>
                <w:lang w:eastAsia="zh-CN"/>
              </w:rPr>
              <w:t>、</w:t>
            </w:r>
            <w:r>
              <w:rPr>
                <w:rFonts w:hint="eastAsia" w:ascii="宋体" w:hAnsi="宋体" w:cs="宋体"/>
                <w:color w:val="000000"/>
                <w:sz w:val="21"/>
                <w:szCs w:val="21"/>
              </w:rPr>
              <w:t>组织公司各项教育培训工作</w:t>
            </w:r>
            <w:r>
              <w:rPr>
                <w:rFonts w:hint="eastAsia" w:ascii="宋体" w:hAnsi="宋体" w:cs="宋体"/>
                <w:color w:val="000000"/>
                <w:sz w:val="21"/>
                <w:szCs w:val="21"/>
                <w:lang w:eastAsia="zh-CN"/>
              </w:rPr>
              <w:t>、</w:t>
            </w:r>
            <w:r>
              <w:rPr>
                <w:rFonts w:hint="eastAsia" w:ascii="宋体" w:hAnsi="宋体" w:cs="宋体"/>
                <w:color w:val="000000"/>
                <w:sz w:val="21"/>
                <w:szCs w:val="21"/>
              </w:rPr>
              <w:t>负责员工档案管理</w:t>
            </w:r>
            <w:r>
              <w:rPr>
                <w:rFonts w:hint="eastAsia" w:ascii="宋体" w:hAnsi="宋体" w:cs="宋体"/>
                <w:color w:val="000000"/>
                <w:sz w:val="21"/>
                <w:szCs w:val="21"/>
                <w:lang w:eastAsia="zh-CN"/>
              </w:rPr>
              <w:t>、</w:t>
            </w:r>
            <w:r>
              <w:rPr>
                <w:rFonts w:hint="eastAsia" w:ascii="宋体" w:hAnsi="宋体" w:cs="宋体"/>
                <w:color w:val="000000"/>
                <w:sz w:val="21"/>
                <w:szCs w:val="21"/>
              </w:rPr>
              <w:t>职业健康安全法律法规的收集、整理与评价。</w:t>
            </w:r>
          </w:p>
          <w:p>
            <w:pPr>
              <w:spacing w:line="360" w:lineRule="auto"/>
              <w:textAlignment w:val="baseline"/>
              <w:rPr>
                <w:rFonts w:hint="eastAsia" w:ascii="宋体" w:hAnsi="宋体" w:cs="宋体"/>
                <w:color w:val="000000"/>
                <w:sz w:val="21"/>
                <w:szCs w:val="21"/>
                <w:lang w:eastAsia="zh-CN"/>
              </w:rPr>
            </w:pPr>
            <w:r>
              <w:rPr>
                <w:rFonts w:hint="eastAsia" w:ascii="宋体" w:hAnsi="宋体" w:cs="宋体"/>
                <w:color w:val="000000"/>
                <w:sz w:val="21"/>
                <w:szCs w:val="21"/>
              </w:rPr>
              <w:t>负责组织危险源识别与评价</w:t>
            </w:r>
            <w:r>
              <w:rPr>
                <w:rFonts w:hint="eastAsia" w:ascii="宋体" w:hAnsi="宋体" w:cs="宋体"/>
                <w:color w:val="000000"/>
                <w:sz w:val="21"/>
                <w:szCs w:val="21"/>
                <w:lang w:eastAsia="zh-CN"/>
              </w:rPr>
              <w:t>、</w:t>
            </w:r>
            <w:r>
              <w:rPr>
                <w:rFonts w:hint="eastAsia" w:ascii="宋体" w:hAnsi="宋体" w:cs="宋体"/>
                <w:color w:val="000000"/>
                <w:sz w:val="21"/>
                <w:szCs w:val="21"/>
              </w:rPr>
              <w:t>负责重大危险源管理方案的制定与验证</w:t>
            </w:r>
            <w:r>
              <w:rPr>
                <w:rFonts w:hint="eastAsia" w:ascii="宋体" w:hAnsi="宋体" w:cs="宋体"/>
                <w:color w:val="000000"/>
                <w:sz w:val="21"/>
                <w:szCs w:val="21"/>
                <w:lang w:eastAsia="zh-CN"/>
              </w:rPr>
              <w:t>、</w:t>
            </w:r>
            <w:r>
              <w:rPr>
                <w:rFonts w:hint="eastAsia" w:ascii="宋体" w:hAnsi="宋体" w:cs="宋体"/>
                <w:color w:val="000000"/>
                <w:sz w:val="21"/>
                <w:szCs w:val="21"/>
              </w:rPr>
              <w:t>负责水和电的统计</w:t>
            </w:r>
            <w:r>
              <w:rPr>
                <w:rFonts w:hint="eastAsia" w:ascii="宋体" w:hAnsi="宋体" w:cs="宋体"/>
                <w:color w:val="000000"/>
                <w:sz w:val="21"/>
                <w:szCs w:val="21"/>
                <w:lang w:eastAsia="zh-CN"/>
              </w:rPr>
              <w:t>、</w:t>
            </w:r>
            <w:r>
              <w:rPr>
                <w:rFonts w:hint="eastAsia" w:ascii="宋体" w:hAnsi="宋体" w:cs="宋体"/>
                <w:color w:val="000000"/>
                <w:sz w:val="21"/>
                <w:szCs w:val="21"/>
              </w:rPr>
              <w:t>负责组织应急演</w:t>
            </w:r>
            <w:r>
              <w:rPr>
                <w:rFonts w:hint="eastAsia" w:ascii="宋体" w:hAnsi="宋体" w:cs="宋体"/>
                <w:color w:val="000000"/>
                <w:sz w:val="21"/>
                <w:szCs w:val="21"/>
              </w:rPr>
              <w:t>练预案编写、演习、评价</w:t>
            </w:r>
            <w:r>
              <w:rPr>
                <w:rFonts w:hint="eastAsia" w:ascii="宋体" w:hAnsi="宋体" w:cs="宋体"/>
                <w:color w:val="000000"/>
                <w:sz w:val="21"/>
                <w:szCs w:val="21"/>
                <w:lang w:eastAsia="zh-CN"/>
              </w:rPr>
              <w:t>。</w:t>
            </w:r>
          </w:p>
          <w:p>
            <w:pPr>
              <w:spacing w:line="360" w:lineRule="auto"/>
              <w:textAlignment w:val="baseline"/>
              <w:rPr>
                <w:rFonts w:hint="eastAsia" w:ascii="宋体" w:hAnsi="宋体" w:cs="宋体"/>
                <w:color w:val="000000"/>
                <w:sz w:val="21"/>
                <w:szCs w:val="21"/>
              </w:rPr>
            </w:pPr>
            <w:r>
              <w:rPr>
                <w:rFonts w:hint="eastAsia" w:ascii="宋体" w:hAnsi="宋体" w:cs="宋体"/>
                <w:color w:val="000000"/>
                <w:sz w:val="21"/>
                <w:szCs w:val="21"/>
              </w:rPr>
              <w:t>部门负责人对本部门的职责和权限以及工作流程清楚、明确。</w:t>
            </w:r>
          </w:p>
          <w:p>
            <w:pPr>
              <w:pStyle w:val="8"/>
              <w:spacing w:line="400" w:lineRule="exact"/>
              <w:rPr>
                <w:rFonts w:hint="eastAsia"/>
                <w:color w:val="auto"/>
                <w:sz w:val="21"/>
                <w:szCs w:val="21"/>
              </w:rPr>
            </w:pPr>
            <w:r>
              <w:rPr>
                <w:rFonts w:hint="eastAsia"/>
                <w:kern w:val="2"/>
                <w:sz w:val="21"/>
                <w:szCs w:val="21"/>
              </w:rPr>
              <w:t xml:space="preserve"> 公司</w:t>
            </w:r>
            <w:r>
              <w:rPr>
                <w:rFonts w:hint="eastAsia"/>
                <w:color w:val="auto"/>
                <w:kern w:val="2"/>
                <w:sz w:val="21"/>
                <w:szCs w:val="21"/>
              </w:rPr>
              <w:t>员工参与协商，员工提出参与安全知识的学习和培训，需要发放劳保用品，在日常服务例会中有通报公司近期消防安全工作及加强职业安全管理工作，员工做好自身安全防范及其他保护环境方面的工作要求。</w:t>
            </w:r>
          </w:p>
          <w:p>
            <w:pPr>
              <w:pStyle w:val="8"/>
              <w:spacing w:line="400" w:lineRule="exact"/>
              <w:ind w:firstLine="210" w:firstLineChars="100"/>
              <w:rPr>
                <w:rFonts w:hint="eastAsia"/>
                <w:sz w:val="21"/>
                <w:szCs w:val="21"/>
              </w:rPr>
            </w:pPr>
            <w:r>
              <w:rPr>
                <w:rFonts w:hint="eastAsia"/>
                <w:sz w:val="21"/>
                <w:szCs w:val="21"/>
              </w:rPr>
              <w:t>查见：公司内部会议记录表，沟通信息包括：</w:t>
            </w:r>
          </w:p>
          <w:p>
            <w:pPr>
              <w:pStyle w:val="8"/>
              <w:spacing w:line="400" w:lineRule="exact"/>
              <w:ind w:firstLine="210" w:firstLineChars="100"/>
              <w:rPr>
                <w:rFonts w:hint="eastAsia"/>
                <w:sz w:val="21"/>
                <w:szCs w:val="21"/>
              </w:rPr>
            </w:pPr>
            <w:r>
              <w:rPr>
                <w:rFonts w:hint="eastAsia"/>
                <w:sz w:val="21"/>
                <w:szCs w:val="21"/>
              </w:rPr>
              <w:t>1）告知员工：管理者代表和职业健康安全事务代表是</w:t>
            </w:r>
            <w:r>
              <w:rPr>
                <w:rFonts w:hint="eastAsia" w:ascii="宋体" w:hAnsi="宋体"/>
                <w:szCs w:val="21"/>
                <w:lang w:val="en-US" w:eastAsia="zh-CN"/>
              </w:rPr>
              <w:t>朱卫平</w:t>
            </w:r>
            <w:r>
              <w:rPr>
                <w:rFonts w:hint="eastAsia"/>
                <w:sz w:val="21"/>
                <w:szCs w:val="21"/>
              </w:rPr>
              <w:t>。</w:t>
            </w:r>
          </w:p>
          <w:p>
            <w:pPr>
              <w:pStyle w:val="8"/>
              <w:spacing w:line="400" w:lineRule="exact"/>
              <w:ind w:firstLine="210" w:firstLineChars="100"/>
              <w:rPr>
                <w:rFonts w:hint="eastAsia"/>
                <w:sz w:val="21"/>
                <w:szCs w:val="21"/>
              </w:rPr>
            </w:pPr>
            <w:r>
              <w:rPr>
                <w:rFonts w:hint="eastAsia"/>
                <w:sz w:val="21"/>
                <w:szCs w:val="21"/>
              </w:rPr>
              <w:t>2）告知员工：职业健康安全管理体系建立的依据、标准和意义，因公司未涉及危化品，故未对全体员工出具告知书；</w:t>
            </w:r>
          </w:p>
          <w:p>
            <w:pPr>
              <w:pStyle w:val="8"/>
              <w:spacing w:line="400" w:lineRule="exact"/>
              <w:ind w:firstLine="210" w:firstLineChars="100"/>
              <w:rPr>
                <w:rFonts w:hint="eastAsia" w:ascii="宋体" w:hAnsi="宋体" w:cs="Arial"/>
                <w:color w:val="FF0000"/>
                <w:sz w:val="21"/>
                <w:szCs w:val="21"/>
              </w:rPr>
            </w:pPr>
            <w:r>
              <w:rPr>
                <w:rFonts w:hint="eastAsia"/>
                <w:sz w:val="21"/>
                <w:szCs w:val="21"/>
              </w:rPr>
              <w:t>3）组织员工学习</w:t>
            </w:r>
            <w:r>
              <w:rPr>
                <w:rFonts w:hint="eastAsia" w:ascii="宋体" w:hAnsi="宋体" w:cs="Arial"/>
                <w:sz w:val="21"/>
                <w:szCs w:val="21"/>
              </w:rPr>
              <w:t>：与安全健康管理有关的法律法规</w:t>
            </w:r>
          </w:p>
          <w:p>
            <w:pPr>
              <w:widowControl/>
              <w:spacing w:line="400" w:lineRule="atLeast"/>
              <w:ind w:firstLine="315" w:firstLineChars="150"/>
              <w:rPr>
                <w:rFonts w:hint="eastAsia" w:ascii="宋体" w:hAnsi="宋体" w:cs="Arial"/>
                <w:color w:val="FF0000"/>
                <w:sz w:val="21"/>
                <w:szCs w:val="21"/>
              </w:rPr>
            </w:pPr>
            <w:r>
              <w:rPr>
                <w:rFonts w:hint="eastAsia" w:ascii="宋体" w:hAnsi="宋体" w:cs="Arial"/>
                <w:sz w:val="21"/>
                <w:szCs w:val="21"/>
              </w:rPr>
              <w:t>4）将服务单位的安全管理、劳动保护要求、安全要求和意义作为新员工岗前培训内容。</w:t>
            </w:r>
          </w:p>
          <w:p>
            <w:pPr>
              <w:spacing w:line="360" w:lineRule="auto"/>
              <w:textAlignment w:val="baseline"/>
              <w:rPr>
                <w:rFonts w:hint="eastAsia" w:ascii="宋体" w:hAnsi="宋体" w:eastAsia="宋体" w:cs="宋体"/>
                <w:b/>
                <w:kern w:val="2"/>
                <w:sz w:val="21"/>
                <w:szCs w:val="21"/>
                <w:lang w:val="en-US" w:eastAsia="zh-CN" w:bidi="ar-SA"/>
              </w:rPr>
            </w:pPr>
            <w:r>
              <w:rPr>
                <w:rFonts w:hint="eastAsia" w:cs="Arial"/>
                <w:kern w:val="2"/>
                <w:sz w:val="21"/>
                <w:szCs w:val="21"/>
              </w:rPr>
              <w:t>询问职业健康安全</w:t>
            </w:r>
            <w:r>
              <w:rPr>
                <w:rFonts w:hint="eastAsia" w:ascii="宋体" w:hAnsi="宋体" w:cs="Arial"/>
                <w:kern w:val="2"/>
                <w:sz w:val="21"/>
                <w:szCs w:val="21"/>
                <w:lang w:val="en-US" w:eastAsia="zh-CN" w:bidi="ar-SA"/>
              </w:rPr>
              <w:t>事务代表王淑</w:t>
            </w:r>
            <w:r>
              <w:rPr>
                <w:rFonts w:hint="eastAsia" w:cs="Arial"/>
                <w:kern w:val="2"/>
                <w:sz w:val="21"/>
                <w:szCs w:val="21"/>
              </w:rPr>
              <w:t>，了解到暂未发生员工与企业的劳动纠纷、工伤、员工投诉、员工权益争执等情况。</w:t>
            </w:r>
          </w:p>
        </w:tc>
        <w:tc>
          <w:tcPr>
            <w:tcW w:w="1437" w:type="dxa"/>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spacing w:line="360" w:lineRule="auto"/>
              <w:rPr>
                <w:rFonts w:hint="eastAsia" w:ascii="宋体" w:hAnsi="宋体" w:cs="宋体"/>
                <w:color w:val="000000"/>
                <w:sz w:val="21"/>
                <w:szCs w:val="21"/>
              </w:rPr>
            </w:pPr>
            <w:r>
              <w:rPr>
                <w:rFonts w:hint="eastAsia" w:ascii="宋体" w:hAnsi="宋体" w:cs="宋体"/>
                <w:color w:val="000000"/>
                <w:sz w:val="21"/>
                <w:szCs w:val="21"/>
              </w:rPr>
              <w:t>质量目标及其实现的策划</w:t>
            </w:r>
          </w:p>
          <w:p>
            <w:pPr>
              <w:spacing w:line="360" w:lineRule="auto"/>
              <w:rPr>
                <w:rFonts w:hint="eastAsia" w:ascii="宋体" w:hAnsi="宋体" w:cs="宋体"/>
                <w:color w:val="000000"/>
                <w:sz w:val="21"/>
                <w:szCs w:val="21"/>
              </w:rPr>
            </w:pPr>
            <w:r>
              <w:rPr>
                <w:rFonts w:hint="eastAsia" w:ascii="宋体" w:hAnsi="宋体" w:cs="宋体"/>
                <w:color w:val="000000"/>
                <w:sz w:val="21"/>
                <w:szCs w:val="21"/>
              </w:rPr>
              <w:t>（含6.2.1</w:t>
            </w:r>
          </w:p>
          <w:p>
            <w:pPr>
              <w:spacing w:line="360" w:lineRule="auto"/>
              <w:rPr>
                <w:rFonts w:hint="eastAsia" w:ascii="宋体" w:hAnsi="宋体" w:cs="宋体"/>
                <w:color w:val="000000"/>
                <w:sz w:val="21"/>
                <w:szCs w:val="21"/>
              </w:rPr>
            </w:pPr>
            <w:r>
              <w:rPr>
                <w:rFonts w:hint="eastAsia" w:ascii="宋体" w:hAnsi="宋体" w:cs="宋体"/>
                <w:color w:val="000000"/>
                <w:sz w:val="21"/>
                <w:szCs w:val="21"/>
              </w:rPr>
              <w:t>/6.2.2）</w:t>
            </w:r>
          </w:p>
          <w:p>
            <w:pPr>
              <w:rPr>
                <w:rFonts w:hint="eastAsia" w:ascii="宋体" w:hAnsi="宋体" w:eastAsia="宋体" w:cs="宋体"/>
                <w:b/>
                <w:kern w:val="2"/>
                <w:sz w:val="21"/>
                <w:szCs w:val="21"/>
                <w:lang w:val="en-US" w:eastAsia="zh-CN" w:bidi="ar-SA"/>
              </w:rPr>
            </w:pPr>
          </w:p>
        </w:tc>
        <w:tc>
          <w:tcPr>
            <w:tcW w:w="1311" w:type="dxa"/>
            <w:vAlign w:val="center"/>
          </w:tcPr>
          <w:p>
            <w:pPr>
              <w:spacing w:line="360" w:lineRule="auto"/>
              <w:textAlignment w:val="baseline"/>
              <w:rPr>
                <w:rFonts w:hint="eastAsia" w:ascii="宋体" w:hAnsi="宋体" w:cs="宋体"/>
                <w:sz w:val="21"/>
                <w:szCs w:val="21"/>
              </w:rPr>
            </w:pPr>
            <w:r>
              <w:rPr>
                <w:rFonts w:hint="eastAsia" w:ascii="宋体" w:hAnsi="宋体" w:cs="宋体"/>
                <w:sz w:val="21"/>
                <w:szCs w:val="21"/>
              </w:rPr>
              <w:t>Q</w:t>
            </w:r>
            <w:r>
              <w:rPr>
                <w:rFonts w:hint="eastAsia" w:ascii="宋体" w:hAnsi="宋体" w:cs="宋体"/>
                <w:sz w:val="21"/>
                <w:szCs w:val="21"/>
                <w:lang w:eastAsia="zh-CN"/>
              </w:rPr>
              <w:t>：</w:t>
            </w:r>
            <w:r>
              <w:rPr>
                <w:rFonts w:hint="eastAsia" w:ascii="宋体" w:hAnsi="宋体" w:cs="宋体"/>
                <w:sz w:val="21"/>
                <w:szCs w:val="21"/>
              </w:rPr>
              <w:t>6.2</w:t>
            </w:r>
          </w:p>
          <w:p>
            <w:pPr>
              <w:spacing w:line="360" w:lineRule="auto"/>
              <w:textAlignment w:val="baseline"/>
              <w:rPr>
                <w:rFonts w:hint="eastAsia" w:ascii="宋体" w:hAnsi="宋体" w:cs="宋体"/>
                <w:sz w:val="21"/>
                <w:szCs w:val="21"/>
              </w:rPr>
            </w:pPr>
            <w:r>
              <w:rPr>
                <w:rFonts w:hint="eastAsia" w:ascii="宋体" w:hAnsi="宋体" w:cs="宋体"/>
                <w:sz w:val="21"/>
                <w:szCs w:val="21"/>
              </w:rPr>
              <w:t>S</w:t>
            </w:r>
            <w:r>
              <w:rPr>
                <w:rFonts w:hint="eastAsia" w:ascii="宋体" w:hAnsi="宋体" w:cs="宋体"/>
                <w:sz w:val="21"/>
                <w:szCs w:val="21"/>
                <w:lang w:eastAsia="zh-CN"/>
              </w:rPr>
              <w:t>：</w:t>
            </w:r>
            <w:r>
              <w:rPr>
                <w:rFonts w:hint="eastAsia" w:ascii="宋体" w:hAnsi="宋体" w:cs="宋体"/>
                <w:sz w:val="21"/>
                <w:szCs w:val="21"/>
              </w:rPr>
              <w:t>4.3.3</w:t>
            </w:r>
          </w:p>
          <w:p>
            <w:pPr>
              <w:rPr>
                <w:rFonts w:hint="eastAsia" w:ascii="宋体" w:hAnsi="宋体" w:eastAsia="宋体" w:cs="宋体"/>
                <w:b/>
                <w:kern w:val="2"/>
                <w:sz w:val="21"/>
                <w:szCs w:val="21"/>
                <w:lang w:val="en-US" w:eastAsia="zh-CN" w:bidi="ar-SA"/>
              </w:rPr>
            </w:pPr>
          </w:p>
        </w:tc>
        <w:tc>
          <w:tcPr>
            <w:tcW w:w="10152" w:type="dxa"/>
            <w:vAlign w:val="center"/>
          </w:tcPr>
          <w:p>
            <w:pPr>
              <w:spacing w:line="400" w:lineRule="exact"/>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查，部门质量目标</w:t>
            </w:r>
          </w:p>
          <w:p>
            <w:pPr>
              <w:spacing w:line="400" w:lineRule="exact"/>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1. 文件受控率达100%；2. 培训计划执行率100%；3. 特殊工种持证上岗率100%；4. 岗位任职合格率100%；5. 工作环境达标率100%。6.触电、火灾发生率为0；</w:t>
            </w:r>
          </w:p>
          <w:p>
            <w:pPr>
              <w:spacing w:line="400" w:lineRule="exact"/>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查《部门质量目标测量报告》 查行政部的质量、安全目标指标管理方案：</w:t>
            </w:r>
          </w:p>
          <w:p>
            <w:pPr>
              <w:spacing w:line="400" w:lineRule="exact"/>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出示了2019年12月30度目标完成情况统计表，行政部目标经考核已达标完成。：</w:t>
            </w:r>
          </w:p>
          <w:p>
            <w:pPr>
              <w:spacing w:line="400" w:lineRule="exact"/>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1.文件受控率达100%；2.培训计划执行率100%；</w:t>
            </w:r>
          </w:p>
          <w:p>
            <w:pPr>
              <w:spacing w:line="400" w:lineRule="exact"/>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特殊工种持证上岗率100%；4. 岗位任职合格率100%；</w:t>
            </w:r>
          </w:p>
          <w:p>
            <w:pPr>
              <w:spacing w:line="400" w:lineRule="exact"/>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5. 工作环境达标率100%。6.触电、火灾发生率为0；</w:t>
            </w:r>
          </w:p>
          <w:p>
            <w:pPr>
              <w:spacing w:line="400" w:lineRule="exact"/>
              <w:rPr>
                <w:rFonts w:hint="eastAsia" w:ascii="宋体" w:hAnsi="宋体"/>
                <w:sz w:val="21"/>
                <w:szCs w:val="21"/>
                <w:lang w:val="en-US" w:eastAsia="zh-CN"/>
              </w:rPr>
            </w:pPr>
            <w:r>
              <w:rPr>
                <w:rFonts w:hint="eastAsia" w:ascii="宋体" w:hAnsi="宋体" w:cs="宋体"/>
                <w:color w:val="000000"/>
                <w:sz w:val="21"/>
                <w:szCs w:val="21"/>
                <w:lang w:val="en-US" w:eastAsia="zh-CN"/>
              </w:rPr>
              <w:t>目标的内容已包括满足产品和法律法规要求、防止人身伤害和健康损害所需的内容，同时包括持续改进的承诺，体现分阶段实现的原则，目标在各职能层次上建立，并可测量与公司方针保持一致并能分解到各部门，目标</w:t>
            </w:r>
            <w:r>
              <w:rPr>
                <w:rFonts w:hint="eastAsia" w:ascii="宋体" w:hAnsi="宋体"/>
                <w:sz w:val="21"/>
                <w:szCs w:val="21"/>
                <w:lang w:val="en-US" w:eastAsia="zh-CN"/>
              </w:rPr>
              <w:t>适宜。</w:t>
            </w:r>
          </w:p>
          <w:p>
            <w:pPr>
              <w:spacing w:line="400" w:lineRule="exact"/>
              <w:rPr>
                <w:rFonts w:hint="eastAsia" w:ascii="宋体" w:hAnsi="宋体"/>
                <w:sz w:val="21"/>
                <w:szCs w:val="21"/>
              </w:rPr>
            </w:pPr>
            <w:r>
              <w:rPr>
                <w:rFonts w:hint="eastAsia" w:ascii="宋体" w:hAnsi="宋体"/>
                <w:sz w:val="21"/>
                <w:szCs w:val="21"/>
              </w:rPr>
              <w:t>质量目标覆盖相关职能、层次和过程，质量目标与质量方针保持一致基本符合要求。</w:t>
            </w:r>
          </w:p>
          <w:p>
            <w:pPr>
              <w:spacing w:line="400" w:lineRule="exact"/>
              <w:rPr>
                <w:rFonts w:hint="eastAsia" w:ascii="宋体" w:hAnsi="宋体"/>
                <w:sz w:val="21"/>
                <w:szCs w:val="21"/>
              </w:rPr>
            </w:pPr>
            <w:r>
              <w:rPr>
                <w:rFonts w:hint="eastAsia" w:ascii="宋体" w:hAnsi="宋体"/>
                <w:sz w:val="21"/>
                <w:szCs w:val="21"/>
              </w:rPr>
              <w:t>查见：公司建立有《管理目标、指标及管理方案》，查</w:t>
            </w:r>
            <w:r>
              <w:rPr>
                <w:rFonts w:hint="eastAsia" w:ascii="宋体" w:hAnsi="宋体"/>
                <w:sz w:val="21"/>
                <w:szCs w:val="21"/>
                <w:lang w:eastAsia="zh-CN"/>
              </w:rPr>
              <w:t>行政部</w:t>
            </w:r>
            <w:r>
              <w:rPr>
                <w:rFonts w:hint="eastAsia" w:ascii="宋体" w:hAnsi="宋体"/>
                <w:sz w:val="21"/>
                <w:szCs w:val="21"/>
              </w:rPr>
              <w:t>安全目标：</w:t>
            </w:r>
          </w:p>
          <w:p>
            <w:pPr>
              <w:spacing w:line="400" w:lineRule="exact"/>
              <w:rPr>
                <w:rFonts w:hint="eastAsia" w:ascii="宋体" w:hAnsi="宋体"/>
                <w:sz w:val="21"/>
                <w:szCs w:val="21"/>
                <w:lang w:val="en-US" w:eastAsia="zh-CN"/>
              </w:rPr>
            </w:pPr>
            <w:r>
              <w:rPr>
                <w:rFonts w:hint="eastAsia" w:ascii="宋体" w:hAnsi="宋体"/>
                <w:sz w:val="21"/>
                <w:szCs w:val="21"/>
              </w:rPr>
              <w:t>1）</w:t>
            </w:r>
            <w:r>
              <w:rPr>
                <w:rFonts w:hint="eastAsia" w:ascii="宋体" w:hAnsi="宋体"/>
                <w:sz w:val="21"/>
                <w:szCs w:val="21"/>
                <w:lang w:val="en-US" w:eastAsia="zh-CN"/>
              </w:rPr>
              <w:t>触电、火灾</w:t>
            </w:r>
          </w:p>
          <w:p>
            <w:pPr>
              <w:spacing w:line="400" w:lineRule="exact"/>
              <w:rPr>
                <w:rFonts w:hint="eastAsia" w:ascii="宋体" w:hAnsi="宋体" w:eastAsia="宋体"/>
                <w:sz w:val="21"/>
                <w:szCs w:val="21"/>
                <w:lang w:eastAsia="zh-CN"/>
              </w:rPr>
            </w:pPr>
            <w:r>
              <w:rPr>
                <w:rFonts w:hint="eastAsia" w:ascii="宋体" w:hAnsi="宋体"/>
                <w:sz w:val="21"/>
                <w:szCs w:val="21"/>
              </w:rPr>
              <w:t>抽查201</w:t>
            </w:r>
            <w:r>
              <w:rPr>
                <w:rFonts w:hint="eastAsia" w:ascii="宋体" w:hAnsi="宋体"/>
                <w:sz w:val="21"/>
                <w:szCs w:val="21"/>
                <w:lang w:val="en-US" w:eastAsia="zh-CN"/>
              </w:rPr>
              <w:t>9</w:t>
            </w:r>
            <w:r>
              <w:rPr>
                <w:rFonts w:hint="eastAsia" w:ascii="宋体" w:hAnsi="宋体"/>
                <w:sz w:val="21"/>
                <w:szCs w:val="21"/>
              </w:rPr>
              <w:t>年</w:t>
            </w:r>
            <w:r>
              <w:rPr>
                <w:rFonts w:hint="eastAsia" w:ascii="宋体" w:hAnsi="宋体"/>
                <w:sz w:val="21"/>
                <w:szCs w:val="21"/>
                <w:lang w:val="en-US" w:eastAsia="zh-CN"/>
              </w:rPr>
              <w:t>12</w:t>
            </w:r>
            <w:r>
              <w:rPr>
                <w:rFonts w:hint="eastAsia" w:ascii="宋体" w:hAnsi="宋体"/>
                <w:sz w:val="21"/>
                <w:szCs w:val="21"/>
              </w:rPr>
              <w:t>月《环境、职业健康安全目标指标分解考核表》，考核均完成目标任务</w:t>
            </w:r>
            <w:r>
              <w:rPr>
                <w:rFonts w:hint="eastAsia" w:ascii="宋体" w:hAnsi="宋体"/>
                <w:sz w:val="21"/>
                <w:szCs w:val="21"/>
                <w:lang w:eastAsia="zh-CN"/>
              </w:rPr>
              <w:t>。</w:t>
            </w:r>
          </w:p>
          <w:p>
            <w:pPr>
              <w:spacing w:line="400" w:lineRule="exact"/>
              <w:rPr>
                <w:rFonts w:hint="eastAsia" w:ascii="宋体" w:hAnsi="宋体"/>
                <w:sz w:val="21"/>
                <w:szCs w:val="21"/>
              </w:rPr>
            </w:pPr>
            <w:r>
              <w:rPr>
                <w:rFonts w:hint="eastAsia" w:ascii="宋体" w:hAnsi="宋体"/>
                <w:sz w:val="21"/>
                <w:szCs w:val="21"/>
              </w:rPr>
              <w:t>查见管理方案有时间期限、具体措施、责任人。</w:t>
            </w:r>
          </w:p>
          <w:p>
            <w:pPr>
              <w:spacing w:line="400" w:lineRule="exact"/>
              <w:rPr>
                <w:rFonts w:hint="eastAsia" w:ascii="宋体" w:hAnsi="宋体"/>
                <w:sz w:val="21"/>
                <w:szCs w:val="21"/>
              </w:rPr>
            </w:pPr>
            <w:r>
              <w:rPr>
                <w:rFonts w:hint="eastAsia" w:ascii="宋体" w:hAnsi="宋体"/>
                <w:sz w:val="21"/>
                <w:szCs w:val="21"/>
              </w:rPr>
              <w:t>查见杜绝火灾事故确定的管理措施：</w:t>
            </w:r>
          </w:p>
          <w:p>
            <w:pPr>
              <w:spacing w:line="400" w:lineRule="exact"/>
              <w:rPr>
                <w:rFonts w:hint="eastAsia" w:ascii="宋体" w:hAnsi="宋体"/>
                <w:sz w:val="21"/>
                <w:szCs w:val="21"/>
              </w:rPr>
            </w:pPr>
            <w:r>
              <w:rPr>
                <w:rFonts w:hint="eastAsia" w:ascii="宋体" w:hAnsi="宋体"/>
                <w:sz w:val="21"/>
                <w:szCs w:val="21"/>
              </w:rPr>
              <w:t>1</w:t>
            </w:r>
            <w:r>
              <w:rPr>
                <w:rFonts w:hint="eastAsia" w:ascii="宋体" w:hAnsi="宋体"/>
                <w:sz w:val="21"/>
                <w:szCs w:val="21"/>
                <w:lang w:val="en-US" w:eastAsia="zh-CN"/>
              </w:rPr>
              <w:t>.</w:t>
            </w:r>
            <w:r>
              <w:rPr>
                <w:rFonts w:hint="eastAsia" w:ascii="宋体" w:hAnsi="宋体"/>
                <w:sz w:val="21"/>
                <w:szCs w:val="21"/>
              </w:rPr>
              <w:t>安全、消防知识学习；</w:t>
            </w:r>
            <w:r>
              <w:rPr>
                <w:rFonts w:hint="eastAsia" w:ascii="宋体" w:hAnsi="宋体"/>
                <w:sz w:val="21"/>
                <w:szCs w:val="21"/>
                <w:lang w:val="en-US" w:eastAsia="zh-CN"/>
              </w:rPr>
              <w:t>2.</w:t>
            </w:r>
            <w:r>
              <w:rPr>
                <w:rFonts w:hint="eastAsia" w:ascii="宋体" w:hAnsi="宋体"/>
                <w:sz w:val="21"/>
                <w:szCs w:val="21"/>
              </w:rPr>
              <w:t>更换接线插座；3</w:t>
            </w:r>
            <w:r>
              <w:rPr>
                <w:rFonts w:hint="eastAsia" w:ascii="宋体" w:hAnsi="宋体"/>
                <w:sz w:val="21"/>
                <w:szCs w:val="21"/>
                <w:lang w:val="en-US" w:eastAsia="zh-CN"/>
              </w:rPr>
              <w:t>.</w:t>
            </w:r>
            <w:r>
              <w:rPr>
                <w:rFonts w:hint="eastAsia" w:ascii="宋体" w:hAnsi="宋体"/>
                <w:sz w:val="21"/>
                <w:szCs w:val="21"/>
              </w:rPr>
              <w:t>定期巡检电路；4</w:t>
            </w:r>
            <w:r>
              <w:rPr>
                <w:rFonts w:hint="eastAsia" w:ascii="宋体" w:hAnsi="宋体"/>
                <w:sz w:val="21"/>
                <w:szCs w:val="21"/>
                <w:lang w:val="en-US" w:eastAsia="zh-CN"/>
              </w:rPr>
              <w:t>.</w:t>
            </w:r>
            <w:r>
              <w:rPr>
                <w:rFonts w:hint="eastAsia" w:ascii="宋体" w:hAnsi="宋体"/>
                <w:sz w:val="21"/>
                <w:szCs w:val="21"/>
              </w:rPr>
              <w:t>张贴安全标识</w:t>
            </w:r>
            <w:r>
              <w:rPr>
                <w:rFonts w:hint="eastAsia" w:ascii="宋体" w:hAnsi="宋体"/>
                <w:sz w:val="21"/>
                <w:szCs w:val="21"/>
                <w:lang w:val="en-US" w:eastAsia="zh-CN"/>
              </w:rPr>
              <w:t>.</w:t>
            </w:r>
            <w:r>
              <w:rPr>
                <w:rFonts w:hint="eastAsia" w:ascii="宋体" w:hAnsi="宋体"/>
                <w:sz w:val="21"/>
                <w:szCs w:val="21"/>
              </w:rPr>
              <w:t>5消防演习每年至少一次</w:t>
            </w:r>
          </w:p>
          <w:p>
            <w:pPr>
              <w:spacing w:line="400" w:lineRule="exact"/>
              <w:rPr>
                <w:rFonts w:hint="eastAsia" w:ascii="宋体" w:hAnsi="宋体"/>
                <w:sz w:val="21"/>
                <w:szCs w:val="21"/>
              </w:rPr>
            </w:pPr>
            <w:r>
              <w:rPr>
                <w:rFonts w:hint="eastAsia" w:ascii="宋体" w:hAnsi="宋体"/>
                <w:sz w:val="21"/>
                <w:szCs w:val="21"/>
              </w:rPr>
              <w:t>查见安全管理方案共计有</w:t>
            </w:r>
            <w:r>
              <w:rPr>
                <w:rFonts w:hint="eastAsia" w:ascii="宋体" w:hAnsi="宋体"/>
                <w:sz w:val="21"/>
                <w:szCs w:val="21"/>
                <w:lang w:val="en-US" w:eastAsia="zh-CN"/>
              </w:rPr>
              <w:t>5</w:t>
            </w:r>
            <w:r>
              <w:rPr>
                <w:rFonts w:hint="eastAsia" w:ascii="宋体" w:hAnsi="宋体"/>
                <w:sz w:val="21"/>
                <w:szCs w:val="21"/>
              </w:rPr>
              <w:t>个，为突发事件应急处置案、消防火灾应急疏散方案、预防触电方案，针对目标及指标提出了管理措施，方案中有具体的实施时间及经费，有相应的实施主体。</w:t>
            </w:r>
          </w:p>
          <w:p>
            <w:pPr>
              <w:numPr>
                <w:ilvl w:val="0"/>
                <w:numId w:val="1"/>
              </w:numPr>
              <w:spacing w:line="400" w:lineRule="exact"/>
              <w:rPr>
                <w:rFonts w:hint="eastAsia" w:ascii="宋体" w:hAnsi="宋体"/>
                <w:sz w:val="21"/>
                <w:szCs w:val="21"/>
                <w:lang w:val="en-US" w:eastAsia="zh-CN"/>
              </w:rPr>
            </w:pPr>
            <w:r>
              <w:rPr>
                <w:rFonts w:hint="eastAsia" w:ascii="宋体" w:hAnsi="宋体"/>
                <w:sz w:val="21"/>
                <w:szCs w:val="21"/>
              </w:rPr>
              <w:t>办公</w:t>
            </w:r>
            <w:r>
              <w:rPr>
                <w:rFonts w:hint="eastAsia" w:ascii="宋体" w:hAnsi="宋体"/>
                <w:sz w:val="21"/>
                <w:szCs w:val="21"/>
                <w:lang w:val="en-US" w:eastAsia="zh-CN"/>
              </w:rPr>
              <w:t>室固废</w:t>
            </w:r>
          </w:p>
          <w:p>
            <w:pPr>
              <w:spacing w:line="360" w:lineRule="auto"/>
              <w:textAlignment w:val="baseline"/>
              <w:rPr>
                <w:rFonts w:hint="eastAsia" w:ascii="宋体" w:hAnsi="宋体" w:eastAsia="宋体" w:cs="宋体"/>
                <w:color w:val="000000"/>
                <w:kern w:val="2"/>
                <w:sz w:val="21"/>
                <w:szCs w:val="21"/>
                <w:lang w:val="en-US" w:eastAsia="zh-CN" w:bidi="ar-SA"/>
              </w:rPr>
            </w:pPr>
            <w:r>
              <w:rPr>
                <w:rFonts w:hint="eastAsia" w:ascii="宋体" w:hAnsi="宋体"/>
                <w:sz w:val="21"/>
                <w:szCs w:val="21"/>
                <w:lang w:val="en-US" w:eastAsia="zh-CN"/>
              </w:rPr>
              <w:t>1.</w:t>
            </w:r>
            <w:r>
              <w:rPr>
                <w:rFonts w:hint="eastAsia" w:ascii="宋体" w:hAnsi="宋体"/>
                <w:sz w:val="21"/>
                <w:szCs w:val="21"/>
              </w:rPr>
              <w:t>废弃物</w:t>
            </w:r>
            <w:r>
              <w:rPr>
                <w:rFonts w:hint="eastAsia" w:ascii="宋体" w:hAnsi="宋体"/>
                <w:sz w:val="21"/>
                <w:szCs w:val="21"/>
                <w:lang w:val="en-US" w:eastAsia="zh-CN"/>
              </w:rPr>
              <w:t>定点处置。2.</w:t>
            </w:r>
            <w:r>
              <w:rPr>
                <w:rFonts w:hint="eastAsia" w:ascii="宋体" w:hAnsi="宋体"/>
                <w:sz w:val="21"/>
                <w:szCs w:val="21"/>
              </w:rPr>
              <w:t>对办公室</w:t>
            </w:r>
            <w:r>
              <w:rPr>
                <w:rFonts w:hint="eastAsia" w:ascii="宋体" w:hAnsi="宋体"/>
                <w:sz w:val="21"/>
                <w:szCs w:val="21"/>
                <w:lang w:val="en-US" w:eastAsia="zh-CN"/>
              </w:rPr>
              <w:t>的</w:t>
            </w:r>
            <w:r>
              <w:rPr>
                <w:rFonts w:hint="eastAsia" w:ascii="宋体" w:hAnsi="宋体"/>
                <w:sz w:val="21"/>
                <w:szCs w:val="21"/>
              </w:rPr>
              <w:t>废弃物的处置进行</w:t>
            </w:r>
            <w:r>
              <w:rPr>
                <w:rFonts w:hint="eastAsia" w:ascii="宋体" w:hAnsi="宋体"/>
                <w:sz w:val="21"/>
                <w:szCs w:val="21"/>
                <w:lang w:val="en-US" w:eastAsia="zh-CN"/>
              </w:rPr>
              <w:t>定期</w:t>
            </w:r>
            <w:r>
              <w:rPr>
                <w:rFonts w:hint="eastAsia" w:ascii="宋体" w:hAnsi="宋体"/>
                <w:sz w:val="21"/>
                <w:szCs w:val="21"/>
              </w:rPr>
              <w:t>检查，确保废弃物按要求得到处理。</w:t>
            </w:r>
            <w:r>
              <w:rPr>
                <w:rFonts w:hint="eastAsia" w:ascii="宋体" w:hAnsi="宋体"/>
                <w:sz w:val="21"/>
                <w:szCs w:val="21"/>
                <w:lang w:val="en-US" w:eastAsia="zh-CN"/>
              </w:rPr>
              <w:t> </w:t>
            </w:r>
          </w:p>
        </w:tc>
        <w:tc>
          <w:tcPr>
            <w:tcW w:w="1437" w:type="dxa"/>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rPr>
                <w:rFonts w:hint="eastAsia" w:ascii="宋体" w:hAnsi="宋体" w:eastAsia="宋体" w:cs="宋体"/>
                <w:b/>
                <w:kern w:val="2"/>
                <w:sz w:val="21"/>
                <w:szCs w:val="21"/>
                <w:lang w:val="en-US" w:eastAsia="zh-CN" w:bidi="ar-SA"/>
              </w:rPr>
            </w:pPr>
            <w:r>
              <w:rPr>
                <w:rFonts w:hint="eastAsia" w:ascii="宋体" w:hAnsi="宋体" w:eastAsia="宋体" w:cs="宋体"/>
                <w:b w:val="0"/>
                <w:bCs w:val="0"/>
                <w:sz w:val="21"/>
                <w:szCs w:val="21"/>
              </w:rPr>
              <w:t>人员</w:t>
            </w:r>
            <w:r>
              <w:rPr>
                <w:rFonts w:hint="eastAsia" w:ascii="宋体" w:hAnsi="宋体" w:cs="宋体"/>
                <w:b w:val="0"/>
                <w:bCs w:val="0"/>
                <w:sz w:val="21"/>
                <w:szCs w:val="21"/>
                <w:lang w:eastAsia="zh-CN"/>
              </w:rPr>
              <w:t>、</w:t>
            </w:r>
            <w:r>
              <w:rPr>
                <w:rFonts w:hint="eastAsia" w:ascii="宋体" w:hAnsi="宋体" w:eastAsia="宋体" w:cs="宋体"/>
                <w:b w:val="0"/>
                <w:bCs w:val="0"/>
                <w:sz w:val="21"/>
                <w:szCs w:val="21"/>
              </w:rPr>
              <w:t>组织知识</w:t>
            </w:r>
            <w:r>
              <w:rPr>
                <w:rFonts w:hint="eastAsia" w:ascii="宋体" w:hAnsi="宋体" w:cs="宋体"/>
                <w:b w:val="0"/>
                <w:bCs w:val="0"/>
                <w:sz w:val="21"/>
                <w:szCs w:val="21"/>
                <w:lang w:eastAsia="zh-CN"/>
              </w:rPr>
              <w:t>、</w:t>
            </w:r>
            <w:r>
              <w:rPr>
                <w:rFonts w:hint="eastAsia" w:ascii="宋体" w:hAnsi="宋体" w:eastAsia="宋体" w:cs="宋体"/>
                <w:b w:val="0"/>
                <w:bCs w:val="0"/>
                <w:sz w:val="21"/>
                <w:szCs w:val="21"/>
              </w:rPr>
              <w:t>能力</w:t>
            </w:r>
            <w:r>
              <w:rPr>
                <w:rFonts w:hint="eastAsia" w:ascii="宋体" w:hAnsi="宋体" w:cs="宋体"/>
                <w:b w:val="0"/>
                <w:bCs w:val="0"/>
                <w:sz w:val="21"/>
                <w:szCs w:val="21"/>
                <w:lang w:eastAsia="zh-CN"/>
              </w:rPr>
              <w:t>、</w:t>
            </w:r>
            <w:r>
              <w:rPr>
                <w:rFonts w:hint="eastAsia" w:ascii="宋体" w:hAnsi="宋体" w:eastAsia="宋体" w:cs="宋体"/>
                <w:b w:val="0"/>
                <w:bCs w:val="0"/>
                <w:sz w:val="21"/>
                <w:szCs w:val="21"/>
              </w:rPr>
              <w:t>意识；</w:t>
            </w:r>
          </w:p>
        </w:tc>
        <w:tc>
          <w:tcPr>
            <w:tcW w:w="1311" w:type="dxa"/>
            <w:vAlign w:val="center"/>
          </w:tcPr>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Q7.1.2 7.1.6</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Q7.2</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7.3</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S4.4.2</w:t>
            </w:r>
          </w:p>
          <w:p>
            <w:pPr>
              <w:rPr>
                <w:rFonts w:hint="eastAsia" w:ascii="宋体" w:hAnsi="宋体" w:eastAsia="宋体" w:cs="宋体"/>
                <w:b/>
                <w:kern w:val="2"/>
                <w:sz w:val="21"/>
                <w:szCs w:val="21"/>
                <w:lang w:val="en-US" w:eastAsia="zh-CN" w:bidi="ar-SA"/>
              </w:rPr>
            </w:pPr>
          </w:p>
        </w:tc>
        <w:tc>
          <w:tcPr>
            <w:tcW w:w="10152" w:type="dxa"/>
            <w:vAlign w:val="center"/>
          </w:tcPr>
          <w:p>
            <w:pPr>
              <w:spacing w:line="360" w:lineRule="auto"/>
              <w:rPr>
                <w:rFonts w:hint="eastAsia" w:ascii="宋体" w:hAnsi="宋体" w:cs="宋体"/>
                <w:color w:val="000000"/>
                <w:sz w:val="21"/>
                <w:szCs w:val="21"/>
              </w:rPr>
            </w:pPr>
            <w:r>
              <w:rPr>
                <w:rFonts w:hint="eastAsia" w:ascii="宋体" w:hAnsi="宋体" w:cs="宋体"/>
                <w:color w:val="000000"/>
                <w:sz w:val="21"/>
                <w:szCs w:val="21"/>
              </w:rPr>
              <w:t>公司制定了人力资源规划以公司发展战略为指导，总结了前几年的人力资源管理经验，全面核查现有人力资源现状，分析公司内人力资源环境，以预测我公司对人才的未来供需为切入点，对人才流动、人才梯队建设、人力资本控制、培训开发、薪酬与福利等方面进行规划。</w:t>
            </w:r>
          </w:p>
          <w:p>
            <w:pPr>
              <w:spacing w:line="360" w:lineRule="auto"/>
              <w:rPr>
                <w:rFonts w:hint="eastAsia" w:ascii="宋体" w:hAnsi="宋体" w:cs="宋体"/>
                <w:color w:val="000000"/>
                <w:sz w:val="21"/>
                <w:szCs w:val="21"/>
              </w:rPr>
            </w:pPr>
            <w:r>
              <w:rPr>
                <w:rFonts w:hint="eastAsia" w:ascii="宋体" w:hAnsi="宋体" w:cs="宋体"/>
                <w:color w:val="000000"/>
                <w:sz w:val="21"/>
                <w:szCs w:val="21"/>
              </w:rPr>
              <w:t>公司制定了《人力资源控制程序》</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提供</w:t>
            </w:r>
            <w:r>
              <w:rPr>
                <w:rFonts w:hint="eastAsia" w:ascii="宋体" w:hAnsi="宋体" w:cs="宋体"/>
                <w:color w:val="000000"/>
                <w:sz w:val="21"/>
                <w:szCs w:val="21"/>
              </w:rPr>
              <w:t>《</w:t>
            </w:r>
            <w:r>
              <w:rPr>
                <w:rFonts w:hint="eastAsia" w:ascii="宋体" w:hAnsi="宋体" w:cs="宋体"/>
                <w:color w:val="000000"/>
                <w:sz w:val="21"/>
                <w:szCs w:val="21"/>
                <w:lang w:val="en-US" w:eastAsia="zh-CN"/>
              </w:rPr>
              <w:t>部门职责及员工岗位说明书</w:t>
            </w:r>
            <w:r>
              <w:rPr>
                <w:rFonts w:hint="eastAsia" w:ascii="宋体" w:hAnsi="宋体" w:cs="宋体"/>
                <w:color w:val="000000"/>
                <w:sz w:val="21"/>
                <w:szCs w:val="21"/>
              </w:rPr>
              <w:t>》，对任职人员工作权限与内容、任职资格（文化程度</w:t>
            </w:r>
            <w:r>
              <w:rPr>
                <w:rFonts w:hint="eastAsia" w:ascii="宋体" w:hAnsi="宋体" w:cs="宋体"/>
                <w:color w:val="000000"/>
                <w:sz w:val="21"/>
                <w:szCs w:val="21"/>
                <w:lang w:eastAsia="zh-CN"/>
              </w:rPr>
              <w:t>、</w:t>
            </w:r>
            <w:r>
              <w:rPr>
                <w:rFonts w:hint="eastAsia" w:ascii="宋体" w:hAnsi="宋体" w:cs="宋体"/>
                <w:color w:val="000000"/>
                <w:sz w:val="21"/>
                <w:szCs w:val="21"/>
              </w:rPr>
              <w:t>工作岗位、工作经历、工作业绩）的等作出了规定。</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查看“岗位胜任评价表”，其中包括：总经理、管代、各部门负责人、业务员、职业健康安全事务代表等。能够满足公司QS管理体系运行以及体系覆盖产品生产和服务的需求。</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抽市场部负责人；王建均，从文化程度、工作岗位、工作经历、工作业绩确认，综合评价：符合。</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抽见行政部负责人：</w:t>
            </w:r>
            <w:r>
              <w:rPr>
                <w:rFonts w:hint="eastAsia" w:ascii="宋体" w:hAnsi="宋体" w:eastAsia="宋体" w:cs="宋体"/>
                <w:sz w:val="21"/>
                <w:szCs w:val="21"/>
                <w:lang w:val="en-US" w:eastAsia="zh-CN"/>
              </w:rPr>
              <w:t>王云倩</w:t>
            </w:r>
            <w:r>
              <w:rPr>
                <w:rFonts w:hint="eastAsia" w:ascii="宋体" w:hAnsi="宋体" w:cs="宋体"/>
                <w:color w:val="000000"/>
                <w:sz w:val="21"/>
                <w:szCs w:val="21"/>
                <w:lang w:val="en-US" w:eastAsia="zh-CN"/>
              </w:rPr>
              <w:t>，从文化程度、工作岗位、工作经历、工作业绩确认，综合评价：符合。</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抽生技部负责人朱卫平：从文化程度、工作岗位、工作经历、工作业绩确认，综合评价：符合。</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抽车间操作工：姚志娟、羌志平、李云文化程度、工作岗位、工作经历、工作业绩确认，综合评价：符合。</w:t>
            </w:r>
          </w:p>
          <w:p>
            <w:pPr>
              <w:numPr>
                <w:ilvl w:val="0"/>
                <w:numId w:val="0"/>
              </w:numPr>
              <w:spacing w:line="360" w:lineRule="auto"/>
              <w:textAlignment w:val="baseline"/>
              <w:rPr>
                <w:rFonts w:hint="eastAsia" w:ascii="宋体" w:hAnsi="宋体" w:cs="宋体"/>
                <w:b/>
                <w:bCs/>
                <w:color w:val="000000"/>
                <w:sz w:val="21"/>
                <w:szCs w:val="21"/>
                <w:lang w:val="en-US" w:eastAsia="zh-CN"/>
              </w:rPr>
            </w:pPr>
            <w:r>
              <w:rPr>
                <w:rFonts w:hint="eastAsia" w:ascii="宋体" w:hAnsi="宋体" w:cs="宋体"/>
                <w:b/>
                <w:bCs/>
                <w:color w:val="000000"/>
                <w:sz w:val="21"/>
                <w:szCs w:val="21"/>
                <w:lang w:val="en-US" w:eastAsia="zh-CN"/>
              </w:rPr>
              <w:t>特种作业人员持证情况</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提供了：</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孙明春，证件号：320624197001274311，南通市通州质量技术监督局颁发的叉车司机作业证书，有效期：2021年09月12日。</w:t>
            </w:r>
          </w:p>
          <w:p>
            <w:pPr>
              <w:numPr>
                <w:ilvl w:val="0"/>
                <w:numId w:val="0"/>
              </w:numPr>
              <w:spacing w:line="360" w:lineRule="auto"/>
              <w:textAlignment w:val="baseline"/>
              <w:rPr>
                <w:rFonts w:hint="eastAsia" w:ascii="宋体" w:hAnsi="宋体" w:cs="宋体"/>
                <w:b/>
                <w:bCs/>
                <w:color w:val="000000"/>
                <w:sz w:val="21"/>
                <w:szCs w:val="21"/>
                <w:lang w:val="en-US" w:eastAsia="zh-CN"/>
              </w:rPr>
            </w:pPr>
            <w:r>
              <w:rPr>
                <w:rFonts w:hint="eastAsia" w:ascii="宋体" w:hAnsi="宋体" w:cs="宋体"/>
                <w:b/>
                <w:bCs/>
                <w:color w:val="000000"/>
                <w:sz w:val="21"/>
                <w:szCs w:val="21"/>
                <w:lang w:val="en-US" w:eastAsia="zh-CN"/>
              </w:rPr>
              <w:t>培训能力</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查看2020年度培训计划，内容包括：管理方针、GB/T19001-2016、GB/T2801-2011标准、管理手册、程序文件学习；环境、职业健康安全管理方案学习；应急准备与响应措施学习培训；操作规程、作业指导书；检验规范；内审控制程序；运行控制程序等。</w:t>
            </w:r>
          </w:p>
          <w:p>
            <w:pPr>
              <w:spacing w:line="360" w:lineRule="auto"/>
              <w:rPr>
                <w:rFonts w:hint="eastAsia" w:ascii="宋体" w:hAnsi="宋体" w:cs="宋体"/>
                <w:color w:val="000000"/>
                <w:sz w:val="21"/>
                <w:szCs w:val="21"/>
              </w:rPr>
            </w:pPr>
            <w:r>
              <w:rPr>
                <w:rFonts w:hint="eastAsia" w:ascii="宋体" w:hAnsi="宋体" w:cs="宋体"/>
                <w:color w:val="000000"/>
                <w:sz w:val="21"/>
                <w:szCs w:val="21"/>
              </w:rPr>
              <w:t>查20</w:t>
            </w:r>
            <w:r>
              <w:rPr>
                <w:rFonts w:hint="eastAsia" w:ascii="宋体" w:hAnsi="宋体" w:cs="宋体"/>
                <w:color w:val="000000"/>
                <w:sz w:val="21"/>
                <w:szCs w:val="21"/>
                <w:lang w:val="en-US" w:eastAsia="zh-CN"/>
              </w:rPr>
              <w:t>20</w:t>
            </w:r>
            <w:r>
              <w:rPr>
                <w:rFonts w:hint="eastAsia" w:ascii="宋体" w:hAnsi="宋体" w:cs="宋体"/>
                <w:color w:val="000000"/>
                <w:sz w:val="21"/>
                <w:szCs w:val="21"/>
              </w:rPr>
              <w:t>年培训计划，抽查培训记录，均按照培训计划执行实施。</w:t>
            </w:r>
          </w:p>
          <w:p>
            <w:pPr>
              <w:spacing w:line="360" w:lineRule="auto"/>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2020.1.4编制《2018年度员工培训计划 》：</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2020.1，GB/T19001-2016/ISO 9001：2015、</w:t>
            </w:r>
            <w:r>
              <w:rPr>
                <w:rFonts w:hint="eastAsia" w:ascii="宋体" w:hAnsi="宋体" w:cs="宋体"/>
                <w:color w:val="000000"/>
                <w:sz w:val="21"/>
                <w:szCs w:val="21"/>
                <w:lang w:val="en-US" w:eastAsia="zh-CN"/>
              </w:rPr>
              <w:t>GB/T28001-2011</w:t>
            </w:r>
            <w:r>
              <w:rPr>
                <w:rFonts w:hint="eastAsia" w:ascii="宋体" w:hAnsi="宋体" w:cs="宋体"/>
                <w:color w:val="000000"/>
                <w:sz w:val="21"/>
                <w:szCs w:val="21"/>
                <w:lang w:val="en-US" w:eastAsia="zh-CN"/>
              </w:rPr>
              <w:t>标准知识、概念培训</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2020.2，安全法律法规的培训</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2020.4，管理体系内审员培训</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查《员工培训记录及评价表》 ：</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培训时间：2020.1.15；培训内容：GB/T19001-2016/ISO 9001：2015、</w:t>
            </w:r>
            <w:r>
              <w:rPr>
                <w:rFonts w:hint="eastAsia" w:ascii="宋体" w:hAnsi="宋体" w:cs="宋体"/>
                <w:color w:val="000000"/>
                <w:sz w:val="21"/>
                <w:szCs w:val="21"/>
                <w:lang w:val="en-US" w:eastAsia="zh-CN"/>
              </w:rPr>
              <w:t>GB/T28001-2011</w:t>
            </w:r>
            <w:r>
              <w:rPr>
                <w:rFonts w:hint="eastAsia" w:ascii="宋体" w:hAnsi="宋体" w:cs="宋体"/>
                <w:color w:val="000000"/>
                <w:sz w:val="21"/>
                <w:szCs w:val="21"/>
                <w:lang w:val="en-US" w:eastAsia="zh-CN"/>
              </w:rPr>
              <w:t>标准知识、概念培训；培训人员：王建均、朱卫平、王云倩、杨永云，综合评价：培训达到预期的目的。</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培训时间：2020.2.8；培训内容：安全法律法规的培训、安全管理目标及方案；培训人员：王建均、杨永云、朱卫平、王云倩，综合评价：培训达到预期的目的。</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培训时间：2020.4.3；培训内容：管理体系内审员培训；培训人员：王建均、朱卫平、王云倩、杨永云，综合评价：基本达到内审员能力。</w:t>
            </w:r>
          </w:p>
          <w:p>
            <w:pPr>
              <w:spacing w:line="360" w:lineRule="auto"/>
              <w:rPr>
                <w:rFonts w:hint="eastAsia" w:ascii="宋体" w:hAnsi="宋体" w:cs="宋体"/>
                <w:sz w:val="21"/>
                <w:szCs w:val="21"/>
              </w:rPr>
            </w:pPr>
            <w:r>
              <w:rPr>
                <w:rFonts w:hint="eastAsia" w:ascii="宋体" w:hAnsi="宋体" w:cs="宋体"/>
                <w:sz w:val="21"/>
                <w:szCs w:val="21"/>
              </w:rPr>
              <w:t>公司确定了从事的工作影响质量管理体系绩效和有效性且在公司控制范围内的人员所必要的能力，这些能力主要是基于适当的教育、培训或经历等。</w:t>
            </w:r>
          </w:p>
          <w:p>
            <w:pPr>
              <w:spacing w:before="120" w:line="360" w:lineRule="auto"/>
              <w:rPr>
                <w:rFonts w:hint="eastAsia"/>
              </w:rPr>
            </w:pPr>
            <w:r>
              <w:rPr>
                <w:rFonts w:hint="eastAsia"/>
                <w:szCs w:val="22"/>
              </w:rPr>
              <w:t>查企业于2019年6月份新进了员工张晓勇，但是未能提供其三级安全教育的相关证据，不符合规定要求。</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公司通过</w:t>
            </w:r>
            <w:r>
              <w:rPr>
                <w:rFonts w:hint="eastAsia" w:ascii="宋体" w:hAnsi="宋体" w:cs="宋体"/>
                <w:sz w:val="21"/>
                <w:szCs w:val="21"/>
                <w:lang w:val="en-US" w:eastAsia="zh-CN"/>
              </w:rPr>
              <w:t>会议</w:t>
            </w:r>
            <w:r>
              <w:rPr>
                <w:rFonts w:hint="eastAsia" w:ascii="宋体" w:hAnsi="宋体" w:cs="宋体"/>
                <w:sz w:val="21"/>
                <w:szCs w:val="21"/>
              </w:rPr>
              <w:t>、培训、制度约束等方式确保员工能意识到他们从事的活动的相关性及重要性，以及他们对贯彻质量方针、达成质量目标及实现QS的有效性的积极贡献，以及其不符合QS要求的后果。</w:t>
            </w:r>
          </w:p>
          <w:p>
            <w:pPr>
              <w:numPr>
                <w:ilvl w:val="0"/>
                <w:numId w:val="0"/>
              </w:numPr>
              <w:spacing w:line="360" w:lineRule="auto"/>
              <w:textAlignment w:val="baseline"/>
              <w:rPr>
                <w:rFonts w:hint="eastAsia" w:ascii="宋体" w:hAnsi="宋体" w:cs="宋体"/>
                <w:color w:val="000000"/>
                <w:sz w:val="21"/>
                <w:szCs w:val="21"/>
                <w:lang w:val="en-US" w:eastAsia="zh-CN"/>
              </w:rPr>
            </w:pPr>
            <w:r>
              <w:rPr>
                <w:rFonts w:hint="eastAsia" w:ascii="宋体" w:hAnsi="宋体" w:cs="宋体"/>
                <w:sz w:val="21"/>
                <w:szCs w:val="21"/>
              </w:rPr>
              <w:t>经与员工沟通</w:t>
            </w:r>
            <w:bookmarkStart w:id="0" w:name="_GoBack"/>
            <w:bookmarkEnd w:id="0"/>
            <w:r>
              <w:rPr>
                <w:rFonts w:hint="eastAsia" w:ascii="宋体" w:hAnsi="宋体" w:cs="宋体"/>
                <w:sz w:val="21"/>
                <w:szCs w:val="21"/>
              </w:rPr>
              <w:t>了解，基本具备以上必要的质量意识和质量管理体系相关意识。</w:t>
            </w:r>
          </w:p>
          <w:p>
            <w:pPr>
              <w:spacing w:line="360" w:lineRule="auto"/>
              <w:rPr>
                <w:rFonts w:hint="eastAsia"/>
                <w:b/>
                <w:sz w:val="21"/>
                <w:szCs w:val="21"/>
              </w:rPr>
            </w:pPr>
            <w:r>
              <w:rPr>
                <w:rFonts w:hint="eastAsia"/>
                <w:b/>
                <w:sz w:val="21"/>
                <w:szCs w:val="21"/>
              </w:rPr>
              <w:t>组织的知识</w:t>
            </w:r>
          </w:p>
          <w:p>
            <w:pPr>
              <w:spacing w:line="360" w:lineRule="auto"/>
              <w:rPr>
                <w:rFonts w:hint="eastAsia" w:ascii="宋体" w:hAnsi="宋体" w:cs="宋体"/>
                <w:sz w:val="21"/>
                <w:szCs w:val="21"/>
              </w:rPr>
            </w:pPr>
            <w:r>
              <w:rPr>
                <w:rFonts w:hint="eastAsia" w:ascii="宋体" w:hAnsi="宋体" w:cs="宋体"/>
                <w:sz w:val="21"/>
                <w:szCs w:val="21"/>
              </w:rPr>
              <w:t>1、组织内的知识主要通过网站获取国家相关法律法规信息、部门规章、地方法规、供销人员从客户处获得产品要求后由办公室进行归档控制、内部知识主要通过开会和培训方式进行；</w:t>
            </w:r>
          </w:p>
          <w:p>
            <w:pPr>
              <w:spacing w:line="360" w:lineRule="auto"/>
              <w:rPr>
                <w:rFonts w:hint="eastAsia" w:ascii="宋体" w:hAnsi="宋体" w:cs="宋体"/>
                <w:sz w:val="21"/>
                <w:szCs w:val="21"/>
              </w:rPr>
            </w:pPr>
            <w:r>
              <w:rPr>
                <w:rFonts w:hint="eastAsia" w:ascii="宋体" w:hAnsi="宋体" w:cs="宋体"/>
                <w:sz w:val="21"/>
                <w:szCs w:val="21"/>
              </w:rPr>
              <w:t>2、组织内知识主要包括：公司的产品</w:t>
            </w:r>
            <w:r>
              <w:rPr>
                <w:rFonts w:hint="eastAsia" w:ascii="宋体" w:hAnsi="宋体" w:cs="宋体"/>
                <w:sz w:val="21"/>
                <w:szCs w:val="21"/>
                <w:lang w:val="en-US" w:eastAsia="zh-CN"/>
              </w:rPr>
              <w:t>介绍</w:t>
            </w:r>
            <w:r>
              <w:rPr>
                <w:rFonts w:hint="eastAsia" w:ascii="宋体" w:hAnsi="宋体" w:cs="宋体"/>
                <w:sz w:val="21"/>
                <w:szCs w:val="21"/>
              </w:rPr>
              <w:t>、作业文件、管理制度、应急预案、产品检验规范、销售流程、客户信息和供应商信息等；</w:t>
            </w:r>
          </w:p>
          <w:p>
            <w:pPr>
              <w:spacing w:line="360" w:lineRule="auto"/>
              <w:rPr>
                <w:rFonts w:hint="eastAsia" w:ascii="宋体" w:hAnsi="宋体" w:cs="宋体"/>
                <w:sz w:val="21"/>
                <w:szCs w:val="21"/>
              </w:rPr>
            </w:pPr>
            <w:r>
              <w:rPr>
                <w:rFonts w:hint="eastAsia" w:ascii="宋体" w:hAnsi="宋体" w:cs="宋体"/>
                <w:sz w:val="21"/>
                <w:szCs w:val="21"/>
              </w:rPr>
              <w:t>3、组织通过持续关注国家法律法规的变化、客户需求的变化、环保要求的变化、供应商及相关方需求的变化、内部员工培训等方式保持组织知识的更新和保持；</w:t>
            </w:r>
          </w:p>
          <w:p>
            <w:pPr>
              <w:spacing w:line="360" w:lineRule="auto"/>
              <w:textAlignment w:val="baseline"/>
              <w:rPr>
                <w:rFonts w:hint="eastAsia" w:ascii="宋体" w:hAnsi="宋体"/>
                <w:sz w:val="21"/>
                <w:szCs w:val="21"/>
                <w:lang w:val="en-US" w:eastAsia="zh-CN"/>
              </w:rPr>
            </w:pPr>
            <w:r>
              <w:rPr>
                <w:rFonts w:hint="eastAsia" w:ascii="宋体" w:hAnsi="宋体" w:cs="宋体"/>
                <w:sz w:val="21"/>
                <w:szCs w:val="21"/>
              </w:rPr>
              <w:t>基本符合要求；</w:t>
            </w:r>
          </w:p>
        </w:tc>
        <w:tc>
          <w:tcPr>
            <w:tcW w:w="1437" w:type="dxa"/>
          </w:tcPr>
          <w:p>
            <w:pPr>
              <w:spacing w:line="360" w:lineRule="auto"/>
            </w:pPr>
          </w:p>
          <w:p>
            <w:pPr>
              <w:pStyle w:val="2"/>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rPr>
                <w:rFonts w:ascii="楷体" w:hAnsi="楷体" w:eastAsia="楷体"/>
                <w:sz w:val="24"/>
                <w:szCs w:val="24"/>
              </w:rPr>
            </w:pPr>
          </w:p>
          <w:p>
            <w:pPr>
              <w:pStyle w:val="3"/>
              <w:ind w:left="0" w:leftChars="0" w:firstLine="0" w:firstLineChars="0"/>
              <w:rPr>
                <w:rFonts w:hint="default" w:ascii="楷体" w:hAnsi="楷体" w:eastAsia="楷体"/>
                <w:sz w:val="24"/>
                <w:szCs w:val="24"/>
                <w:lang w:val="en-US" w:eastAsia="zh-CN"/>
              </w:rPr>
            </w:pPr>
            <w:r>
              <w:rPr>
                <w:rFonts w:hint="eastAsia" w:ascii="楷体" w:hAnsi="楷体" w:eastAsia="楷体"/>
                <w:sz w:val="24"/>
                <w:szCs w:val="24"/>
                <w:lang w:val="en-US" w:eastAsia="zh-CN"/>
              </w:rPr>
              <w:t xml:space="preserve">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top"/>
          </w:tcPr>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eastAsia="宋体" w:cs="宋体"/>
                <w:spacing w:val="-4"/>
                <w:kern w:val="2"/>
                <w:sz w:val="21"/>
                <w:szCs w:val="21"/>
                <w:lang w:val="en-US" w:eastAsia="zh-CN" w:bidi="ar-SA"/>
              </w:rPr>
            </w:pPr>
            <w:r>
              <w:rPr>
                <w:rFonts w:hint="eastAsia" w:ascii="宋体" w:hAnsi="宋体" w:cs="新宋体"/>
                <w:sz w:val="21"/>
                <w:szCs w:val="21"/>
              </w:rPr>
              <w:t>基础设施</w:t>
            </w:r>
          </w:p>
        </w:tc>
        <w:tc>
          <w:tcPr>
            <w:tcW w:w="1311" w:type="dxa"/>
            <w:vAlign w:val="top"/>
          </w:tcPr>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cs="新宋体"/>
                <w:sz w:val="21"/>
                <w:szCs w:val="21"/>
              </w:rPr>
            </w:pPr>
          </w:p>
          <w:p>
            <w:pPr>
              <w:adjustRightInd w:val="0"/>
              <w:snapToGrid w:val="0"/>
              <w:jc w:val="center"/>
              <w:rPr>
                <w:rFonts w:hint="eastAsia" w:ascii="宋体" w:hAnsi="宋体" w:eastAsia="宋体" w:cs="宋体"/>
                <w:b/>
                <w:kern w:val="2"/>
                <w:sz w:val="21"/>
                <w:szCs w:val="21"/>
                <w:lang w:val="en-US" w:eastAsia="zh-CN" w:bidi="ar-SA"/>
              </w:rPr>
            </w:pPr>
            <w:r>
              <w:rPr>
                <w:rFonts w:hint="eastAsia" w:ascii="宋体" w:hAnsi="宋体" w:cs="新宋体"/>
                <w:sz w:val="21"/>
                <w:szCs w:val="21"/>
              </w:rPr>
              <w:t>Q7.1.3</w:t>
            </w:r>
          </w:p>
        </w:tc>
        <w:tc>
          <w:tcPr>
            <w:tcW w:w="10152" w:type="dxa"/>
            <w:vAlign w:val="top"/>
          </w:tcPr>
          <w:p>
            <w:pPr>
              <w:spacing w:line="360" w:lineRule="auto"/>
              <w:rPr>
                <w:rFonts w:hint="eastAsia" w:ascii="宋体" w:hAnsi="宋体"/>
                <w:sz w:val="21"/>
                <w:szCs w:val="21"/>
              </w:rPr>
            </w:pPr>
            <w:r>
              <w:rPr>
                <w:rFonts w:hint="eastAsia" w:ascii="宋体" w:hAnsi="宋体"/>
                <w:sz w:val="21"/>
                <w:szCs w:val="21"/>
              </w:rPr>
              <w:t>1、经了解组织的建筑设施：办公场所面积200平方左右。</w:t>
            </w:r>
          </w:p>
          <w:p>
            <w:pPr>
              <w:numPr>
                <w:ilvl w:val="0"/>
                <w:numId w:val="2"/>
              </w:numPr>
              <w:spacing w:line="360" w:lineRule="auto"/>
              <w:rPr>
                <w:rFonts w:hint="eastAsia" w:ascii="宋体" w:hAnsi="宋体"/>
                <w:sz w:val="21"/>
                <w:szCs w:val="21"/>
              </w:rPr>
            </w:pPr>
            <w:r>
              <w:rPr>
                <w:rFonts w:hint="eastAsia" w:ascii="宋体" w:hAnsi="宋体"/>
                <w:sz w:val="21"/>
                <w:szCs w:val="21"/>
              </w:rPr>
              <w:t>查《设备管理台账》主要设备包括：</w:t>
            </w:r>
            <w:r>
              <w:rPr>
                <w:rFonts w:hint="eastAsia" w:ascii="宋体" w:hAnsi="宋体" w:cs="宋体"/>
                <w:sz w:val="21"/>
                <w:szCs w:val="21"/>
                <w:lang w:val="en-US" w:eastAsia="zh-CN"/>
              </w:rPr>
              <w:t>立式转子压铸机、转子铸铝机、等离子切割机、行车、冲床等68台套。</w:t>
            </w:r>
          </w:p>
          <w:p>
            <w:pPr>
              <w:widowControl w:val="0"/>
              <w:numPr>
                <w:ilvl w:val="0"/>
                <w:numId w:val="0"/>
              </w:numPr>
              <w:spacing w:line="360" w:lineRule="auto"/>
              <w:jc w:val="both"/>
              <w:rPr>
                <w:rFonts w:hint="eastAsia" w:ascii="宋体" w:hAnsi="宋体" w:cs="宋体"/>
                <w:sz w:val="21"/>
                <w:szCs w:val="21"/>
                <w:lang w:val="en-US" w:eastAsia="zh-CN"/>
              </w:rPr>
            </w:pPr>
            <w:r>
              <w:rPr>
                <w:rFonts w:hint="eastAsia" w:ascii="宋体" w:hAnsi="宋体" w:cs="宋体"/>
                <w:sz w:val="21"/>
                <w:szCs w:val="21"/>
                <w:lang w:val="en-US" w:eastAsia="zh-CN"/>
              </w:rPr>
              <w:t>查：设备代号:41703237720110108，电动单梁起重机，有有限期的特种设备检验合格证。</w:t>
            </w:r>
          </w:p>
          <w:p>
            <w:pPr>
              <w:widowControl w:val="0"/>
              <w:numPr>
                <w:ilvl w:val="0"/>
                <w:numId w:val="0"/>
              </w:numPr>
              <w:spacing w:line="360" w:lineRule="auto"/>
              <w:jc w:val="both"/>
              <w:rPr>
                <w:rFonts w:hint="eastAsia" w:ascii="宋体" w:hAnsi="宋体" w:cs="宋体"/>
                <w:sz w:val="21"/>
                <w:szCs w:val="21"/>
                <w:lang w:val="en-US" w:eastAsia="zh-CN"/>
              </w:rPr>
            </w:pPr>
            <w:r>
              <w:rPr>
                <w:rFonts w:hint="eastAsia" w:ascii="宋体" w:hAnsi="宋体" w:cs="宋体"/>
                <w:sz w:val="21"/>
                <w:szCs w:val="21"/>
                <w:lang w:val="en-US" w:eastAsia="zh-CN"/>
              </w:rPr>
              <w:drawing>
                <wp:anchor distT="0" distB="0" distL="114300" distR="114300" simplePos="0" relativeHeight="251659264" behindDoc="0" locked="0" layoutInCell="1" allowOverlap="1">
                  <wp:simplePos x="0" y="0"/>
                  <wp:positionH relativeFrom="column">
                    <wp:posOffset>3092450</wp:posOffset>
                  </wp:positionH>
                  <wp:positionV relativeFrom="paragraph">
                    <wp:posOffset>135255</wp:posOffset>
                  </wp:positionV>
                  <wp:extent cx="2805430" cy="1791335"/>
                  <wp:effectExtent l="0" t="0" r="1270" b="12065"/>
                  <wp:wrapNone/>
                  <wp:docPr id="12" name="图片 12" descr="叉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叉车"/>
                          <pic:cNvPicPr>
                            <a:picLocks noChangeAspect="1"/>
                          </pic:cNvPicPr>
                        </pic:nvPicPr>
                        <pic:blipFill>
                          <a:blip r:embed="rId6"/>
                          <a:stretch>
                            <a:fillRect/>
                          </a:stretch>
                        </pic:blipFill>
                        <pic:spPr>
                          <a:xfrm>
                            <a:off x="0" y="0"/>
                            <a:ext cx="2805430" cy="1791335"/>
                          </a:xfrm>
                          <a:prstGeom prst="rect">
                            <a:avLst/>
                          </a:prstGeom>
                        </pic:spPr>
                      </pic:pic>
                    </a:graphicData>
                  </a:graphic>
                </wp:anchor>
              </w:drawing>
            </w:r>
            <w:r>
              <w:rPr>
                <w:rFonts w:hint="eastAsia" w:ascii="宋体" w:hAnsi="宋体" w:cs="宋体"/>
                <w:sz w:val="21"/>
                <w:szCs w:val="21"/>
                <w:lang w:val="en-US" w:eastAsia="zh-CN"/>
              </w:rPr>
              <w:drawing>
                <wp:anchor distT="0" distB="0" distL="114300" distR="114300" simplePos="0" relativeHeight="251658240" behindDoc="0" locked="0" layoutInCell="1" allowOverlap="1">
                  <wp:simplePos x="0" y="0"/>
                  <wp:positionH relativeFrom="column">
                    <wp:posOffset>190500</wp:posOffset>
                  </wp:positionH>
                  <wp:positionV relativeFrom="paragraph">
                    <wp:posOffset>128905</wp:posOffset>
                  </wp:positionV>
                  <wp:extent cx="2693670" cy="1797050"/>
                  <wp:effectExtent l="0" t="0" r="11430" b="6350"/>
                  <wp:wrapNone/>
                  <wp:docPr id="11" name="图片 11" descr="起重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起重机1"/>
                          <pic:cNvPicPr>
                            <a:picLocks noChangeAspect="1"/>
                          </pic:cNvPicPr>
                        </pic:nvPicPr>
                        <pic:blipFill>
                          <a:blip r:embed="rId7"/>
                          <a:stretch>
                            <a:fillRect/>
                          </a:stretch>
                        </pic:blipFill>
                        <pic:spPr>
                          <a:xfrm>
                            <a:off x="0" y="0"/>
                            <a:ext cx="2693670" cy="1797050"/>
                          </a:xfrm>
                          <a:prstGeom prst="rect">
                            <a:avLst/>
                          </a:prstGeom>
                        </pic:spPr>
                      </pic:pic>
                    </a:graphicData>
                  </a:graphic>
                </wp:anchor>
              </w:drawing>
            </w:r>
          </w:p>
          <w:p>
            <w:pPr>
              <w:widowControl w:val="0"/>
              <w:numPr>
                <w:ilvl w:val="0"/>
                <w:numId w:val="0"/>
              </w:numPr>
              <w:spacing w:line="360" w:lineRule="auto"/>
              <w:jc w:val="both"/>
              <w:rPr>
                <w:rFonts w:hint="eastAsia" w:ascii="宋体" w:hAnsi="宋体" w:cs="宋体"/>
                <w:sz w:val="21"/>
                <w:szCs w:val="21"/>
                <w:lang w:val="en-US" w:eastAsia="zh-CN"/>
              </w:rPr>
            </w:pPr>
          </w:p>
          <w:p>
            <w:pPr>
              <w:widowControl w:val="0"/>
              <w:numPr>
                <w:ilvl w:val="0"/>
                <w:numId w:val="0"/>
              </w:numPr>
              <w:spacing w:line="360" w:lineRule="auto"/>
              <w:jc w:val="both"/>
              <w:rPr>
                <w:rFonts w:hint="eastAsia" w:ascii="宋体" w:hAnsi="宋体" w:cs="宋体"/>
                <w:sz w:val="21"/>
                <w:szCs w:val="21"/>
                <w:lang w:val="en-US" w:eastAsia="zh-CN"/>
              </w:rPr>
            </w:pPr>
          </w:p>
          <w:p>
            <w:pPr>
              <w:widowControl w:val="0"/>
              <w:numPr>
                <w:ilvl w:val="0"/>
                <w:numId w:val="0"/>
              </w:numPr>
              <w:spacing w:line="360" w:lineRule="auto"/>
              <w:jc w:val="both"/>
              <w:rPr>
                <w:rFonts w:hint="eastAsia" w:ascii="宋体" w:hAnsi="宋体" w:cs="宋体"/>
                <w:sz w:val="21"/>
                <w:szCs w:val="21"/>
                <w:lang w:val="en-US" w:eastAsia="zh-CN"/>
              </w:rPr>
            </w:pPr>
          </w:p>
          <w:p>
            <w:pPr>
              <w:widowControl w:val="0"/>
              <w:numPr>
                <w:ilvl w:val="0"/>
                <w:numId w:val="0"/>
              </w:numPr>
              <w:spacing w:line="360" w:lineRule="auto"/>
              <w:jc w:val="both"/>
              <w:rPr>
                <w:rFonts w:hint="eastAsia" w:ascii="宋体" w:hAnsi="宋体" w:cs="宋体"/>
                <w:sz w:val="21"/>
                <w:szCs w:val="21"/>
                <w:lang w:val="en-US" w:eastAsia="zh-CN"/>
              </w:rPr>
            </w:pPr>
          </w:p>
          <w:p>
            <w:pPr>
              <w:widowControl w:val="0"/>
              <w:numPr>
                <w:ilvl w:val="0"/>
                <w:numId w:val="0"/>
              </w:numPr>
              <w:spacing w:line="360" w:lineRule="auto"/>
              <w:jc w:val="both"/>
              <w:rPr>
                <w:rFonts w:hint="eastAsia" w:ascii="宋体" w:hAnsi="宋体" w:cs="宋体"/>
                <w:sz w:val="21"/>
                <w:szCs w:val="21"/>
                <w:lang w:val="en-US" w:eastAsia="zh-CN"/>
              </w:rPr>
            </w:pPr>
          </w:p>
          <w:p>
            <w:pPr>
              <w:widowControl w:val="0"/>
              <w:numPr>
                <w:ilvl w:val="0"/>
                <w:numId w:val="0"/>
              </w:numPr>
              <w:spacing w:line="360" w:lineRule="auto"/>
              <w:jc w:val="both"/>
              <w:rPr>
                <w:rFonts w:hint="eastAsia" w:ascii="宋体" w:hAnsi="宋体" w:cs="宋体"/>
                <w:sz w:val="21"/>
                <w:szCs w:val="21"/>
                <w:lang w:val="en-US" w:eastAsia="zh-CN"/>
              </w:rPr>
            </w:pPr>
          </w:p>
          <w:p>
            <w:pPr>
              <w:widowControl w:val="0"/>
              <w:numPr>
                <w:ilvl w:val="0"/>
                <w:numId w:val="0"/>
              </w:numPr>
              <w:spacing w:line="360" w:lineRule="auto"/>
              <w:jc w:val="both"/>
              <w:rPr>
                <w:rFonts w:hint="eastAsia" w:ascii="宋体" w:hAnsi="宋体" w:cs="宋体"/>
                <w:sz w:val="21"/>
                <w:szCs w:val="21"/>
                <w:lang w:val="en-US" w:eastAsia="zh-CN"/>
              </w:rPr>
            </w:pPr>
            <w:r>
              <w:rPr>
                <w:rFonts w:hint="eastAsia" w:ascii="宋体" w:hAnsi="宋体" w:cs="宋体"/>
                <w:sz w:val="21"/>
                <w:szCs w:val="21"/>
                <w:lang w:val="en-US" w:eastAsia="zh-CN"/>
              </w:rPr>
              <w:t>提供江苏省特种设备安全监督检验研究所的《起重机定期检验报告》，</w:t>
            </w:r>
          </w:p>
          <w:p>
            <w:pPr>
              <w:widowControl w:val="0"/>
              <w:numPr>
                <w:ilvl w:val="0"/>
                <w:numId w:val="0"/>
              </w:numPr>
              <w:spacing w:line="360" w:lineRule="auto"/>
              <w:jc w:val="both"/>
              <w:rPr>
                <w:rFonts w:hint="eastAsia" w:ascii="宋体" w:hAnsi="宋体" w:cs="宋体"/>
                <w:sz w:val="21"/>
                <w:szCs w:val="21"/>
                <w:lang w:val="en-US" w:eastAsia="zh-CN"/>
              </w:rPr>
            </w:pPr>
            <w:r>
              <w:rPr>
                <w:rFonts w:hint="eastAsia" w:ascii="宋体" w:hAnsi="宋体" w:cs="宋体"/>
                <w:sz w:val="21"/>
                <w:szCs w:val="21"/>
                <w:lang w:val="en-US" w:eastAsia="zh-CN"/>
              </w:rPr>
              <w:t xml:space="preserve">设备代号:511010329201719575，叉车，有有限期的特种设备检验合格证。     </w:t>
            </w:r>
          </w:p>
          <w:p>
            <w:pPr>
              <w:rPr>
                <w:rFonts w:hint="eastAsia" w:ascii="宋体" w:hAnsi="宋体" w:eastAsia="宋体" w:cs="宋体"/>
                <w:kern w:val="2"/>
                <w:sz w:val="21"/>
                <w:szCs w:val="21"/>
                <w:lang w:val="en-US" w:eastAsia="zh-CN" w:bidi="ar-SA"/>
              </w:rPr>
            </w:pPr>
            <w:r>
              <w:rPr>
                <w:rFonts w:hint="eastAsia" w:ascii="宋体" w:hAnsi="宋体"/>
                <w:sz w:val="21"/>
                <w:szCs w:val="21"/>
              </w:rPr>
              <w:t xml:space="preserve">   目前该公司基础设施符合要求，基本能满足公司运营的要求。</w:t>
            </w:r>
          </w:p>
        </w:tc>
        <w:tc>
          <w:tcPr>
            <w:tcW w:w="1437" w:type="dxa"/>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rPr>
                <w:rFonts w:hint="eastAsia" w:ascii="宋体" w:hAnsi="宋体" w:eastAsia="宋体" w:cs="宋体"/>
                <w:b/>
                <w:kern w:val="2"/>
                <w:sz w:val="21"/>
                <w:szCs w:val="21"/>
                <w:lang w:val="en-US" w:eastAsia="zh-CN" w:bidi="ar-SA"/>
              </w:rPr>
            </w:pPr>
            <w:r>
              <w:rPr>
                <w:rFonts w:hint="eastAsia" w:ascii="宋体" w:hAnsi="宋体" w:cs="宋体"/>
                <w:sz w:val="21"/>
                <w:szCs w:val="21"/>
              </w:rPr>
              <w:t>过程运行环境</w:t>
            </w:r>
          </w:p>
        </w:tc>
        <w:tc>
          <w:tcPr>
            <w:tcW w:w="1311" w:type="dxa"/>
            <w:vAlign w:val="center"/>
          </w:tcPr>
          <w:p>
            <w:pPr>
              <w:rPr>
                <w:rFonts w:hint="eastAsia" w:ascii="宋体" w:hAnsi="宋体" w:eastAsia="宋体" w:cs="宋体"/>
                <w:b/>
                <w:kern w:val="2"/>
                <w:sz w:val="21"/>
                <w:szCs w:val="21"/>
                <w:lang w:val="en-US" w:eastAsia="zh-CN" w:bidi="ar-SA"/>
              </w:rPr>
            </w:pPr>
            <w:r>
              <w:rPr>
                <w:rFonts w:hint="eastAsia" w:ascii="宋体" w:hAnsi="宋体" w:cs="宋体"/>
                <w:b/>
                <w:sz w:val="21"/>
                <w:szCs w:val="21"/>
              </w:rPr>
              <w:t>Q7.1.4</w:t>
            </w:r>
          </w:p>
        </w:tc>
        <w:tc>
          <w:tcPr>
            <w:tcW w:w="10152" w:type="dxa"/>
            <w:vAlign w:val="center"/>
          </w:tcPr>
          <w:p>
            <w:pPr>
              <w:spacing w:line="360" w:lineRule="auto"/>
              <w:rPr>
                <w:rFonts w:hint="eastAsia" w:ascii="宋体" w:hAnsi="宋体" w:cs="宋体"/>
                <w:sz w:val="21"/>
                <w:szCs w:val="21"/>
              </w:rPr>
            </w:pPr>
            <w:r>
              <w:rPr>
                <w:rFonts w:hint="eastAsia" w:ascii="宋体" w:hAnsi="宋体" w:cs="宋体"/>
                <w:sz w:val="21"/>
                <w:szCs w:val="21"/>
              </w:rPr>
              <w:t>公司对过程运行环境要素予以识别、确定，包括：</w:t>
            </w:r>
          </w:p>
          <w:p>
            <w:pPr>
              <w:spacing w:line="360" w:lineRule="auto"/>
              <w:rPr>
                <w:rFonts w:hint="eastAsia" w:ascii="宋体" w:hAnsi="宋体" w:cs="宋体"/>
                <w:sz w:val="21"/>
                <w:szCs w:val="21"/>
              </w:rPr>
            </w:pPr>
            <w:r>
              <w:rPr>
                <w:rFonts w:hint="eastAsia" w:ascii="宋体" w:hAnsi="宋体" w:cs="宋体"/>
                <w:sz w:val="21"/>
                <w:szCs w:val="21"/>
              </w:rPr>
              <w:t>人文因素与物理因素的结合，例如：</w:t>
            </w:r>
          </w:p>
          <w:p>
            <w:pPr>
              <w:spacing w:line="360" w:lineRule="auto"/>
              <w:rPr>
                <w:rFonts w:hint="eastAsia" w:ascii="宋体" w:hAnsi="宋体" w:cs="宋体"/>
                <w:sz w:val="21"/>
                <w:szCs w:val="21"/>
              </w:rPr>
            </w:pPr>
            <w:r>
              <w:rPr>
                <w:rFonts w:hint="eastAsia" w:ascii="宋体" w:hAnsi="宋体" w:cs="宋体"/>
                <w:sz w:val="21"/>
                <w:szCs w:val="21"/>
              </w:rPr>
              <w:t>a）社会因素（如无歧视、和谐稳定、无对抗）；b）心理因素（如舒缓心理压力、预防过度疲劳、保护个人情感）；c）物理因素（如温度、热量、湿度、照明、空气流通、卫生、噪音）。</w:t>
            </w:r>
          </w:p>
          <w:p>
            <w:pPr>
              <w:spacing w:line="360" w:lineRule="auto"/>
              <w:rPr>
                <w:rFonts w:hint="eastAsia" w:ascii="宋体" w:hAnsi="宋体" w:eastAsia="宋体" w:cs="宋体"/>
                <w:kern w:val="2"/>
                <w:sz w:val="21"/>
                <w:szCs w:val="21"/>
                <w:lang w:val="en-US" w:eastAsia="zh-CN" w:bidi="ar-SA"/>
              </w:rPr>
            </w:pPr>
            <w:r>
              <w:rPr>
                <w:rFonts w:hint="eastAsia" w:ascii="宋体" w:hAnsi="宋体" w:cs="宋体"/>
                <w:sz w:val="21"/>
                <w:szCs w:val="21"/>
              </w:rPr>
              <w:t xml:space="preserve">  经现场确认（观察、沟通调查）：以上相关的社会因素、心理因素、物理因素等均基本满足要求。现场查见：办公现场空气流通，温度适宜，照明等均满足经营要求。</w:t>
            </w:r>
          </w:p>
        </w:tc>
        <w:tc>
          <w:tcPr>
            <w:tcW w:w="1437" w:type="dxa"/>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pStyle w:val="4"/>
              <w:tabs>
                <w:tab w:val="left" w:pos="902"/>
                <w:tab w:val="clear" w:pos="1069"/>
              </w:tabs>
              <w:spacing w:line="360" w:lineRule="auto"/>
              <w:ind w:left="0" w:right="1"/>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形成文件的信</w:t>
            </w:r>
            <w:r>
              <w:rPr>
                <w:rFonts w:hint="eastAsia" w:ascii="宋体" w:hAnsi="宋体" w:eastAsia="宋体" w:cs="宋体"/>
                <w:color w:val="000000"/>
                <w:kern w:val="0"/>
                <w:sz w:val="21"/>
                <w:szCs w:val="21"/>
                <w:lang w:val="en-US" w:eastAsia="zh-CN"/>
              </w:rPr>
              <w:t>息</w:t>
            </w:r>
          </w:p>
          <w:p>
            <w:pPr>
              <w:pStyle w:val="4"/>
              <w:tabs>
                <w:tab w:val="left" w:pos="902"/>
                <w:tab w:val="clear" w:pos="1069"/>
              </w:tabs>
              <w:spacing w:line="360" w:lineRule="auto"/>
              <w:ind w:left="0" w:leftChars="0" w:right="1" w:rightChars="0"/>
              <w:rPr>
                <w:rFonts w:hint="eastAsia" w:ascii="宋体" w:hAnsi="宋体" w:eastAsia="宋体" w:cs="宋体"/>
                <w:color w:val="000000"/>
                <w:kern w:val="0"/>
                <w:sz w:val="21"/>
                <w:szCs w:val="21"/>
                <w:lang w:val="en-US" w:eastAsia="zh-CN" w:bidi="ar-SA"/>
              </w:rPr>
            </w:pPr>
          </w:p>
        </w:tc>
        <w:tc>
          <w:tcPr>
            <w:tcW w:w="1311" w:type="dxa"/>
            <w:vAlign w:val="center"/>
          </w:tcPr>
          <w:p>
            <w:pPr>
              <w:pStyle w:val="4"/>
              <w:tabs>
                <w:tab w:val="left" w:pos="902"/>
                <w:tab w:val="clear" w:pos="1069"/>
              </w:tabs>
              <w:spacing w:line="360" w:lineRule="auto"/>
              <w:ind w:left="0" w:right="1"/>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Q7.5</w:t>
            </w:r>
          </w:p>
          <w:p>
            <w:pPr>
              <w:pStyle w:val="4"/>
              <w:tabs>
                <w:tab w:val="left" w:pos="902"/>
                <w:tab w:val="clear" w:pos="1069"/>
              </w:tabs>
              <w:spacing w:line="360" w:lineRule="auto"/>
              <w:ind w:left="0" w:right="1"/>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S4.4.5</w:t>
            </w:r>
          </w:p>
          <w:p>
            <w:pPr>
              <w:pStyle w:val="4"/>
              <w:tabs>
                <w:tab w:val="left" w:pos="902"/>
                <w:tab w:val="clear" w:pos="1069"/>
              </w:tabs>
              <w:spacing w:line="360" w:lineRule="auto"/>
              <w:ind w:left="0" w:right="1"/>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S4.5.4</w:t>
            </w:r>
          </w:p>
          <w:p>
            <w:pPr>
              <w:pStyle w:val="4"/>
              <w:tabs>
                <w:tab w:val="left" w:pos="902"/>
                <w:tab w:val="clear" w:pos="1069"/>
              </w:tabs>
              <w:spacing w:line="360" w:lineRule="auto"/>
              <w:ind w:left="0" w:leftChars="0" w:right="1" w:rightChars="0"/>
              <w:rPr>
                <w:rFonts w:hint="eastAsia" w:ascii="宋体" w:hAnsi="宋体" w:eastAsia="宋体" w:cs="宋体"/>
                <w:color w:val="000000"/>
                <w:kern w:val="0"/>
                <w:sz w:val="21"/>
                <w:szCs w:val="21"/>
                <w:lang w:val="en-US" w:eastAsia="zh-CN" w:bidi="ar-SA"/>
              </w:rPr>
            </w:pPr>
          </w:p>
        </w:tc>
        <w:tc>
          <w:tcPr>
            <w:tcW w:w="10152" w:type="dxa"/>
            <w:vAlign w:val="center"/>
          </w:tcPr>
          <w:p>
            <w:pPr>
              <w:spacing w:line="360" w:lineRule="auto"/>
              <w:rPr>
                <w:rFonts w:hint="eastAsia" w:ascii="宋体" w:hAnsi="宋体" w:cs="宋体"/>
                <w:sz w:val="21"/>
                <w:szCs w:val="21"/>
              </w:rPr>
            </w:pPr>
            <w:r>
              <w:rPr>
                <w:rFonts w:hint="eastAsia" w:ascii="宋体" w:hAnsi="宋体" w:cs="宋体"/>
                <w:sz w:val="21"/>
                <w:szCs w:val="21"/>
              </w:rPr>
              <w:t>公司的质量管理体系文件</w:t>
            </w:r>
            <w:r>
              <w:rPr>
                <w:rFonts w:hint="eastAsia" w:ascii="宋体" w:hAnsi="宋体" w:cs="宋体"/>
                <w:sz w:val="21"/>
                <w:szCs w:val="21"/>
                <w:lang w:eastAsia="zh-CN"/>
              </w:rPr>
              <w:t>，</w:t>
            </w:r>
            <w:r>
              <w:rPr>
                <w:rFonts w:hint="eastAsia" w:ascii="宋体" w:hAnsi="宋体" w:cs="宋体"/>
                <w:sz w:val="21"/>
                <w:szCs w:val="21"/>
              </w:rPr>
              <w:t>包括</w:t>
            </w:r>
            <w:r>
              <w:rPr>
                <w:rFonts w:hint="eastAsia" w:ascii="宋体" w:hAnsi="宋体" w:cs="宋体"/>
                <w:sz w:val="21"/>
                <w:szCs w:val="21"/>
                <w:lang w:eastAsia="zh-CN"/>
              </w:rPr>
              <w:t>：</w:t>
            </w:r>
            <w:r>
              <w:rPr>
                <w:rFonts w:hint="eastAsia" w:ascii="宋体" w:hAnsi="宋体" w:cs="宋体"/>
                <w:sz w:val="21"/>
                <w:szCs w:val="21"/>
              </w:rPr>
              <w:t>一级文件：质量管理手册</w:t>
            </w:r>
            <w:r>
              <w:rPr>
                <w:rFonts w:hint="eastAsia" w:ascii="宋体" w:hAnsi="宋体" w:cs="宋体"/>
                <w:sz w:val="21"/>
                <w:szCs w:val="21"/>
                <w:lang w:eastAsia="zh-CN"/>
              </w:rPr>
              <w:t>；</w:t>
            </w:r>
            <w:r>
              <w:rPr>
                <w:rFonts w:hint="eastAsia" w:ascii="宋体" w:hAnsi="宋体" w:cs="宋体"/>
                <w:sz w:val="21"/>
                <w:szCs w:val="21"/>
              </w:rPr>
              <w:t>二级文件：程序文件</w:t>
            </w:r>
            <w:r>
              <w:rPr>
                <w:rFonts w:hint="eastAsia" w:ascii="宋体" w:hAnsi="宋体" w:cs="宋体"/>
                <w:sz w:val="21"/>
                <w:szCs w:val="21"/>
                <w:lang w:eastAsia="zh-CN"/>
              </w:rPr>
              <w:t>；</w:t>
            </w:r>
            <w:r>
              <w:rPr>
                <w:rFonts w:hint="eastAsia" w:ascii="宋体" w:hAnsi="宋体" w:cs="宋体"/>
                <w:sz w:val="21"/>
                <w:szCs w:val="21"/>
              </w:rPr>
              <w:t>三级文件：管理规定或制度</w:t>
            </w:r>
            <w:r>
              <w:rPr>
                <w:rFonts w:hint="eastAsia" w:ascii="宋体" w:hAnsi="宋体" w:cs="宋体"/>
                <w:sz w:val="21"/>
                <w:szCs w:val="21"/>
                <w:lang w:eastAsia="zh-CN"/>
              </w:rPr>
              <w:t>；</w:t>
            </w:r>
            <w:r>
              <w:rPr>
                <w:rFonts w:hint="eastAsia" w:ascii="宋体" w:hAnsi="宋体" w:cs="宋体"/>
                <w:sz w:val="21"/>
                <w:szCs w:val="21"/>
              </w:rPr>
              <w:t>四级文件：表格和检查表。</w:t>
            </w:r>
          </w:p>
          <w:p>
            <w:pPr>
              <w:spacing w:line="360" w:lineRule="auto"/>
              <w:rPr>
                <w:rFonts w:hint="eastAsia" w:ascii="宋体" w:hAnsi="宋体" w:cs="宋体"/>
                <w:sz w:val="21"/>
                <w:szCs w:val="21"/>
              </w:rPr>
            </w:pPr>
            <w:r>
              <w:rPr>
                <w:rFonts w:hint="eastAsia" w:ascii="宋体" w:hAnsi="宋体" w:cs="宋体"/>
                <w:sz w:val="21"/>
                <w:szCs w:val="21"/>
              </w:rPr>
              <w:t>--此外，外来文件即外部提供的文件,包括标准、与产品质量有关的文件。通常属于第三级文件，并得到及时识别和分发控制。</w:t>
            </w:r>
          </w:p>
          <w:p>
            <w:pPr>
              <w:spacing w:line="360" w:lineRule="auto"/>
              <w:rPr>
                <w:rFonts w:hint="eastAsia" w:ascii="宋体" w:hAnsi="宋体" w:eastAsia="宋体" w:cs="宋体"/>
                <w:b/>
                <w:kern w:val="2"/>
                <w:sz w:val="21"/>
                <w:szCs w:val="21"/>
                <w:lang w:val="en-US" w:eastAsia="zh-CN" w:bidi="ar-SA"/>
              </w:rPr>
            </w:pPr>
            <w:r>
              <w:rPr>
                <w:rFonts w:hint="eastAsia" w:ascii="宋体" w:hAnsi="宋体" w:cs="宋体"/>
                <w:sz w:val="21"/>
                <w:szCs w:val="21"/>
              </w:rPr>
              <w:t xml:space="preserve">  经查：公司提供的各级体系文件总体满足标准的要求和确保QS有效性的需要。</w:t>
            </w:r>
          </w:p>
        </w:tc>
        <w:tc>
          <w:tcPr>
            <w:tcW w:w="1437" w:type="dxa"/>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rPr>
                <w:rFonts w:hint="eastAsia" w:ascii="宋体" w:hAnsi="宋体" w:eastAsia="宋体" w:cs="宋体"/>
                <w:b/>
                <w:kern w:val="2"/>
                <w:sz w:val="21"/>
                <w:szCs w:val="21"/>
                <w:lang w:val="en-US" w:eastAsia="zh-CN" w:bidi="ar-SA"/>
              </w:rPr>
            </w:pPr>
            <w:r>
              <w:rPr>
                <w:rFonts w:hint="eastAsia" w:ascii="宋体" w:hAnsi="宋体" w:cs="新宋体"/>
                <w:sz w:val="21"/>
                <w:szCs w:val="21"/>
              </w:rPr>
              <w:t>危险源识别、评价与控制措施</w:t>
            </w:r>
          </w:p>
        </w:tc>
        <w:tc>
          <w:tcPr>
            <w:tcW w:w="1311" w:type="dxa"/>
            <w:vAlign w:val="center"/>
          </w:tcPr>
          <w:p>
            <w:pPr>
              <w:rPr>
                <w:rFonts w:hint="eastAsia" w:ascii="宋体" w:hAnsi="宋体" w:eastAsia="宋体" w:cs="宋体"/>
                <w:b/>
                <w:kern w:val="2"/>
                <w:sz w:val="21"/>
                <w:szCs w:val="21"/>
                <w:lang w:val="en-US" w:eastAsia="zh-CN" w:bidi="ar-SA"/>
              </w:rPr>
            </w:pPr>
            <w:r>
              <w:rPr>
                <w:rFonts w:hint="eastAsia" w:ascii="宋体" w:hAnsi="宋体" w:cs="新宋体"/>
                <w:sz w:val="21"/>
                <w:szCs w:val="21"/>
              </w:rPr>
              <w:t xml:space="preserve">S4.3.1 </w:t>
            </w:r>
          </w:p>
        </w:tc>
        <w:tc>
          <w:tcPr>
            <w:tcW w:w="10152" w:type="dxa"/>
            <w:vAlign w:val="center"/>
          </w:tcPr>
          <w:p>
            <w:pPr>
              <w:adjustRightInd w:val="0"/>
              <w:snapToGrid w:val="0"/>
              <w:spacing w:line="360" w:lineRule="auto"/>
              <w:rPr>
                <w:rFonts w:hint="eastAsia" w:ascii="宋体" w:hAnsi="宋体" w:cs="宋体"/>
                <w:sz w:val="21"/>
                <w:szCs w:val="21"/>
              </w:rPr>
            </w:pPr>
            <w:r>
              <w:rPr>
                <w:rFonts w:hint="eastAsia" w:ascii="宋体" w:hAnsi="宋体" w:cs="宋体"/>
                <w:sz w:val="21"/>
                <w:szCs w:val="21"/>
              </w:rPr>
              <w:t>查见：《危险源辨识与风险评价控制程序》</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上述文件对识别和评价方法、程序、职责、记录作了规定。</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查见：《危险源识别评价表》，38项危险源。经过打分和小组评议共评价出公司不可接受风险：</w:t>
            </w:r>
            <w:r>
              <w:rPr>
                <w:rFonts w:hint="eastAsia" w:ascii="宋体" w:hAnsi="宋体" w:cs="宋体"/>
                <w:sz w:val="21"/>
                <w:szCs w:val="21"/>
                <w:lang w:val="en-US" w:eastAsia="zh-CN"/>
              </w:rPr>
              <w:t>3</w:t>
            </w:r>
            <w:r>
              <w:rPr>
                <w:rFonts w:hint="eastAsia" w:ascii="宋体" w:hAnsi="宋体" w:cs="宋体"/>
                <w:sz w:val="21"/>
                <w:szCs w:val="21"/>
              </w:rPr>
              <w:t>项，分别是：触电</w:t>
            </w:r>
            <w:r>
              <w:rPr>
                <w:rFonts w:hint="eastAsia" w:ascii="宋体" w:hAnsi="宋体" w:cs="宋体"/>
                <w:sz w:val="21"/>
                <w:szCs w:val="21"/>
                <w:lang w:val="en-US" w:eastAsia="zh-CN"/>
              </w:rPr>
              <w:t>；</w:t>
            </w:r>
            <w:r>
              <w:rPr>
                <w:rFonts w:hint="eastAsia" w:ascii="宋体" w:hAnsi="宋体" w:cs="宋体"/>
                <w:sz w:val="21"/>
                <w:szCs w:val="21"/>
              </w:rPr>
              <w:t>潜在火灾</w:t>
            </w:r>
            <w:r>
              <w:rPr>
                <w:rFonts w:hint="eastAsia" w:ascii="宋体" w:hAnsi="宋体" w:cs="宋体"/>
                <w:sz w:val="21"/>
                <w:szCs w:val="21"/>
                <w:lang w:val="en-US" w:eastAsia="zh-CN"/>
              </w:rPr>
              <w:t>；高温灼伤、机械</w:t>
            </w:r>
            <w:r>
              <w:rPr>
                <w:rFonts w:hint="eastAsia" w:ascii="宋体" w:hAnsi="宋体" w:cs="宋体"/>
                <w:sz w:val="21"/>
                <w:szCs w:val="21"/>
              </w:rPr>
              <w:t>伤害</w:t>
            </w:r>
            <w:r>
              <w:rPr>
                <w:rFonts w:hint="eastAsia" w:ascii="宋体" w:hAnsi="宋体" w:cs="宋体"/>
                <w:sz w:val="21"/>
                <w:szCs w:val="21"/>
                <w:lang w:eastAsia="zh-CN"/>
              </w:rPr>
              <w:t>。</w:t>
            </w:r>
            <w:r>
              <w:rPr>
                <w:rFonts w:hint="eastAsia" w:ascii="宋体" w:hAnsi="宋体" w:cs="宋体"/>
                <w:sz w:val="21"/>
                <w:szCs w:val="21"/>
              </w:rPr>
              <w:t>。</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辨识清楚、准确，评价充分合理。</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查见确定的风险控制措施：</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A：每年张贴安全、职业卫生的宣传、禁示标识；</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B：每年不少于一次职业卫生、劳动防护、健康知识讲座或培训；</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C：安全目标纳入部门、个人的绩效考核</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D：每年对一线岗位员工进行健康体检；</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E：确保劳保防护用品按时发放、按规定佩带使用</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查见：</w:t>
            </w:r>
            <w:r>
              <w:rPr>
                <w:rFonts w:hint="eastAsia" w:ascii="宋体" w:hAnsi="宋体" w:cs="宋体"/>
                <w:sz w:val="21"/>
                <w:szCs w:val="21"/>
                <w:lang w:eastAsia="zh-CN"/>
              </w:rPr>
              <w:t>行政部</w:t>
            </w:r>
            <w:r>
              <w:rPr>
                <w:rFonts w:hint="eastAsia" w:ascii="宋体" w:hAnsi="宋体" w:cs="宋体"/>
                <w:sz w:val="21"/>
                <w:szCs w:val="21"/>
              </w:rPr>
              <w:t>“危险源识别评价表”</w:t>
            </w:r>
          </w:p>
          <w:p>
            <w:pPr>
              <w:adjustRightInd w:val="0"/>
              <w:snapToGrid w:val="0"/>
              <w:spacing w:line="360" w:lineRule="auto"/>
              <w:rPr>
                <w:rFonts w:hint="eastAsia" w:ascii="宋体" w:hAnsi="宋体" w:cs="宋体"/>
                <w:sz w:val="21"/>
                <w:szCs w:val="21"/>
              </w:rPr>
            </w:pPr>
            <w:r>
              <w:rPr>
                <w:rFonts w:hint="eastAsia" w:ascii="宋体" w:hAnsi="宋体" w:cs="宋体"/>
                <w:sz w:val="21"/>
                <w:szCs w:val="21"/>
                <w:lang w:eastAsia="zh-CN"/>
              </w:rPr>
              <w:t>行政部</w:t>
            </w:r>
            <w:r>
              <w:rPr>
                <w:rFonts w:hint="eastAsia" w:ascii="宋体" w:hAnsi="宋体" w:cs="宋体"/>
                <w:sz w:val="21"/>
                <w:szCs w:val="21"/>
              </w:rPr>
              <w:t>及办公区域共识别出包括:</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办公用品辐射导致职业病、车况异常导致伤害、人员出差导致意外事故等12项危险源.</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采用的是经验判断法、过程分析法识别。</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查见，</w:t>
            </w:r>
            <w:r>
              <w:rPr>
                <w:rFonts w:hint="eastAsia" w:ascii="宋体" w:hAnsi="宋体" w:cs="宋体"/>
                <w:sz w:val="21"/>
                <w:szCs w:val="21"/>
                <w:lang w:eastAsia="zh-CN"/>
              </w:rPr>
              <w:t>行政部</w:t>
            </w:r>
            <w:r>
              <w:rPr>
                <w:rFonts w:hint="eastAsia" w:ascii="宋体" w:hAnsi="宋体" w:cs="宋体"/>
                <w:sz w:val="21"/>
                <w:szCs w:val="21"/>
              </w:rPr>
              <w:t>打分法确定了1项不可接受风险</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公事外出发生交通事故。</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危险源辨识基本充分、风险等级评价基本合理。</w:t>
            </w:r>
          </w:p>
          <w:p>
            <w:pPr>
              <w:adjustRightInd w:val="0"/>
              <w:snapToGrid w:val="0"/>
              <w:spacing w:line="360" w:lineRule="auto"/>
              <w:rPr>
                <w:rFonts w:hint="eastAsia" w:ascii="宋体" w:hAnsi="宋体" w:eastAsia="宋体" w:cs="宋体"/>
                <w:sz w:val="21"/>
                <w:szCs w:val="21"/>
                <w:lang w:eastAsia="zh-CN"/>
              </w:rPr>
            </w:pPr>
            <w:r>
              <w:rPr>
                <w:rFonts w:hint="eastAsia" w:ascii="宋体" w:hAnsi="宋体" w:cs="宋体"/>
                <w:sz w:val="21"/>
                <w:szCs w:val="21"/>
              </w:rPr>
              <w:t>查见确定的管理措施：消防逃生通道设立</w:t>
            </w:r>
            <w:r>
              <w:rPr>
                <w:rFonts w:hint="eastAsia" w:ascii="宋体" w:hAnsi="宋体" w:cs="宋体"/>
                <w:sz w:val="21"/>
                <w:szCs w:val="21"/>
                <w:lang w:eastAsia="zh-CN"/>
              </w:rPr>
              <w:t>、</w:t>
            </w:r>
            <w:r>
              <w:rPr>
                <w:rFonts w:hint="eastAsia" w:ascii="宋体" w:hAnsi="宋体" w:cs="宋体"/>
                <w:sz w:val="21"/>
                <w:szCs w:val="21"/>
              </w:rPr>
              <w:t>消防设备的配备及定期检查</w:t>
            </w:r>
            <w:r>
              <w:rPr>
                <w:rFonts w:hint="eastAsia" w:ascii="宋体" w:hAnsi="宋体" w:cs="宋体"/>
                <w:sz w:val="21"/>
                <w:szCs w:val="21"/>
                <w:lang w:eastAsia="zh-CN"/>
              </w:rPr>
              <w:t>、</w:t>
            </w:r>
          </w:p>
          <w:p>
            <w:pPr>
              <w:adjustRightInd w:val="0"/>
              <w:snapToGrid w:val="0"/>
              <w:spacing w:line="360" w:lineRule="auto"/>
              <w:rPr>
                <w:rFonts w:hint="eastAsia" w:ascii="宋体" w:hAnsi="宋体" w:eastAsia="宋体" w:cs="宋体"/>
                <w:kern w:val="2"/>
                <w:sz w:val="21"/>
                <w:szCs w:val="21"/>
                <w:lang w:val="en-US" w:eastAsia="zh-CN" w:bidi="ar-SA"/>
              </w:rPr>
            </w:pPr>
            <w:r>
              <w:rPr>
                <w:rFonts w:hint="eastAsia" w:ascii="宋体" w:hAnsi="宋体" w:cs="宋体"/>
                <w:sz w:val="21"/>
                <w:szCs w:val="21"/>
              </w:rPr>
              <w:t>消防应急预案的制订及演练</w:t>
            </w:r>
            <w:r>
              <w:rPr>
                <w:rFonts w:hint="eastAsia" w:ascii="宋体" w:hAnsi="宋体" w:cs="宋体"/>
                <w:sz w:val="21"/>
                <w:szCs w:val="21"/>
                <w:lang w:eastAsia="zh-CN"/>
              </w:rPr>
              <w:t>、</w:t>
            </w:r>
            <w:r>
              <w:rPr>
                <w:rFonts w:hint="eastAsia" w:ascii="宋体" w:hAnsi="宋体" w:cs="宋体"/>
                <w:sz w:val="21"/>
                <w:szCs w:val="21"/>
              </w:rPr>
              <w:t>每年参与公司组织的消防演练</w:t>
            </w:r>
          </w:p>
        </w:tc>
        <w:tc>
          <w:tcPr>
            <w:tcW w:w="1437" w:type="dxa"/>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法规与其他要求</w:t>
            </w:r>
          </w:p>
          <w:p>
            <w:pPr>
              <w:adjustRightInd w:val="0"/>
              <w:snapToGrid w:val="0"/>
              <w:spacing w:line="360" w:lineRule="auto"/>
              <w:rPr>
                <w:rFonts w:hint="eastAsia" w:ascii="宋体" w:hAnsi="宋体" w:eastAsia="宋体" w:cs="新宋体"/>
                <w:kern w:val="2"/>
                <w:sz w:val="21"/>
                <w:szCs w:val="21"/>
                <w:lang w:val="en-US" w:eastAsia="zh-CN" w:bidi="ar-SA"/>
              </w:rPr>
            </w:pPr>
            <w:r>
              <w:rPr>
                <w:rFonts w:hint="eastAsia" w:ascii="宋体" w:hAnsi="宋体" w:cs="宋体"/>
                <w:sz w:val="21"/>
                <w:szCs w:val="21"/>
                <w:lang w:val="en-US" w:eastAsia="zh-CN"/>
              </w:rPr>
              <w:t>合规性评价</w:t>
            </w:r>
          </w:p>
        </w:tc>
        <w:tc>
          <w:tcPr>
            <w:tcW w:w="1311" w:type="dxa"/>
            <w:vAlign w:val="center"/>
          </w:tcPr>
          <w:p>
            <w:pPr>
              <w:rPr>
                <w:rFonts w:hint="eastAsia" w:ascii="宋体" w:hAnsi="宋体" w:cs="新宋体"/>
                <w:sz w:val="21"/>
                <w:szCs w:val="21"/>
              </w:rPr>
            </w:pPr>
            <w:r>
              <w:rPr>
                <w:rFonts w:hint="eastAsia" w:ascii="宋体" w:hAnsi="宋体" w:cs="新宋体"/>
                <w:sz w:val="21"/>
                <w:szCs w:val="21"/>
              </w:rPr>
              <w:t xml:space="preserve">S4.3.2 </w:t>
            </w:r>
          </w:p>
          <w:p>
            <w:pPr>
              <w:rPr>
                <w:rFonts w:hint="eastAsia" w:ascii="宋体" w:hAnsi="宋体" w:cs="新宋体"/>
                <w:sz w:val="21"/>
                <w:szCs w:val="21"/>
              </w:rPr>
            </w:pPr>
            <w:r>
              <w:rPr>
                <w:rFonts w:hint="eastAsia" w:ascii="宋体" w:hAnsi="宋体" w:cs="新宋体"/>
                <w:sz w:val="21"/>
                <w:szCs w:val="21"/>
                <w:lang w:val="en-US" w:eastAsia="zh-CN"/>
              </w:rPr>
              <w:t>S</w:t>
            </w:r>
            <w:r>
              <w:rPr>
                <w:rFonts w:hint="eastAsia" w:ascii="宋体" w:hAnsi="宋体" w:cs="新宋体"/>
                <w:sz w:val="21"/>
                <w:szCs w:val="21"/>
              </w:rPr>
              <w:t>4.5.2</w:t>
            </w:r>
          </w:p>
          <w:p>
            <w:pPr>
              <w:rPr>
                <w:rFonts w:hint="eastAsia" w:ascii="宋体" w:hAnsi="宋体" w:eastAsia="宋体" w:cs="新宋体"/>
                <w:kern w:val="2"/>
                <w:sz w:val="21"/>
                <w:szCs w:val="21"/>
                <w:lang w:val="en-US" w:eastAsia="zh-CN" w:bidi="ar-SA"/>
              </w:rPr>
            </w:pPr>
          </w:p>
        </w:tc>
        <w:tc>
          <w:tcPr>
            <w:tcW w:w="10152" w:type="dxa"/>
            <w:vAlign w:val="center"/>
          </w:tcPr>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制定了《法律法规和其他要求控制程序》对法律法规和其他要求的识别作出了明确规定，并建立了获取这些要求的渠道，确定这些要求作用于企业的环境、安全；规定了法律法规和其他要求的评价准则，评价周期等内容，符合标准要求。</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行政部通过以下途径获取最新的与环境、职业健康安全相关的法律法规及其他要求：环保局、消防部门、劳动局、安监局、认监委上网查询、上级文件等。其中主要的获取渠道为上网查询。</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rPr>
              <w:t>查有《法律法规</w:t>
            </w:r>
            <w:r>
              <w:rPr>
                <w:rFonts w:hint="eastAsia" w:ascii="宋体" w:hAnsi="宋体" w:cs="宋体"/>
                <w:sz w:val="21"/>
                <w:szCs w:val="21"/>
                <w:lang w:eastAsia="zh-CN"/>
              </w:rPr>
              <w:t>、</w:t>
            </w:r>
            <w:r>
              <w:rPr>
                <w:rFonts w:hint="eastAsia" w:ascii="宋体" w:hAnsi="宋体" w:cs="宋体"/>
                <w:sz w:val="21"/>
                <w:szCs w:val="21"/>
                <w:lang w:val="en-US" w:eastAsia="zh-CN"/>
              </w:rPr>
              <w:t>标准规范</w:t>
            </w:r>
            <w:r>
              <w:rPr>
                <w:rFonts w:hint="eastAsia" w:ascii="宋体" w:hAnsi="宋体" w:cs="宋体"/>
                <w:sz w:val="21"/>
                <w:szCs w:val="21"/>
              </w:rPr>
              <w:t>》，</w:t>
            </w:r>
            <w:r>
              <w:rPr>
                <w:rFonts w:hint="eastAsia" w:ascii="宋体" w:hAnsi="宋体" w:cs="宋体"/>
                <w:sz w:val="21"/>
                <w:szCs w:val="21"/>
                <w:lang w:val="en-US" w:eastAsia="zh-CN"/>
              </w:rPr>
              <w:t>2018年法律法规标准目录清单，列出安全生产：《中华人民共和国安全生产法》、《安全生产许可条例》等138个，交通安全10个，消防安全20个，工业卫生，电力19个，特种设备2个等。</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查见企业管理手册中 “合规性评价控制程序”中规定了合规性评价内容规定了评价内容和实施时间。</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行政部组织各部门于 2019.12.25对公司管理和经营活动中涉及的重要职业健康、危险源、法律法规进行了评价。</w:t>
            </w:r>
          </w:p>
          <w:p>
            <w:pPr>
              <w:numPr>
                <w:ilvl w:val="0"/>
                <w:numId w:val="0"/>
              </w:numPr>
              <w:adjustRightInd w:val="0"/>
              <w:snapToGrid w:val="0"/>
              <w:spacing w:line="360" w:lineRule="auto"/>
              <w:ind w:left="0" w:leftChars="0" w:firstLine="0" w:firstLineChars="0"/>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查特种设备均经过有资质的单位检验合格证，总结论：符合相关的法律、法规要求。</w:t>
            </w:r>
          </w:p>
        </w:tc>
        <w:tc>
          <w:tcPr>
            <w:tcW w:w="1437" w:type="dxa"/>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rPr>
                <w:rFonts w:hint="eastAsia" w:ascii="宋体" w:hAnsi="宋体" w:eastAsia="宋体" w:cs="新宋体"/>
                <w:kern w:val="2"/>
                <w:sz w:val="21"/>
                <w:szCs w:val="21"/>
                <w:lang w:val="en-US" w:eastAsia="zh-CN" w:bidi="ar-SA"/>
              </w:rPr>
            </w:pPr>
            <w:r>
              <w:rPr>
                <w:rFonts w:hint="eastAsia" w:ascii="宋体" w:hAnsi="宋体"/>
                <w:sz w:val="21"/>
                <w:szCs w:val="21"/>
              </w:rPr>
              <w:t>运行控制</w:t>
            </w:r>
          </w:p>
        </w:tc>
        <w:tc>
          <w:tcPr>
            <w:tcW w:w="1311" w:type="dxa"/>
            <w:vAlign w:val="center"/>
          </w:tcPr>
          <w:p>
            <w:pPr>
              <w:rPr>
                <w:rFonts w:hint="eastAsia" w:ascii="宋体" w:hAnsi="宋体" w:eastAsia="宋体" w:cs="新宋体"/>
                <w:kern w:val="2"/>
                <w:sz w:val="21"/>
                <w:szCs w:val="21"/>
                <w:lang w:val="en-US" w:eastAsia="zh-CN" w:bidi="ar-SA"/>
              </w:rPr>
            </w:pPr>
            <w:r>
              <w:rPr>
                <w:rFonts w:hint="eastAsia" w:ascii="宋体" w:hAnsi="宋体"/>
                <w:sz w:val="21"/>
                <w:szCs w:val="21"/>
              </w:rPr>
              <w:t>S:4.4.6</w:t>
            </w:r>
          </w:p>
        </w:tc>
        <w:tc>
          <w:tcPr>
            <w:tcW w:w="10152" w:type="dxa"/>
            <w:vAlign w:val="center"/>
          </w:tcPr>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企业制定了职业健康安全运行相关的控制程序及相应的控制准则，如《劳保用品管理制度》、《消防管理制度》、《火灾预防应急准备和响应管理制定》等过程的运行准则。根据过程的运行准则，组织实施资源能源的消耗控制火灾预防、职业健康安全事故防范等过程的控制，避免和减少了环境职业健康安全的损失。消防设施检查运行检查、火灾预防运行检查、安全检查等关键运行控制信息的证据都以记录或文件的方式保留。</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查《消防设备台账》，现场查看均在有限期内。</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查见组织的职业健康安全运行控制状况：</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 xml:space="preserve">  1）意外火灾控制</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 xml:space="preserve">   组织的办公区域消防器材配置合理，有灭火器等灭火器材，现场确认正常，《消防安全检查记录表》按规定实施检查；各部门不定期的对本部门防火工作进行消防安全检查，对查出的问题和隐患，及时进行整改解决，确保安全；定期对员工进行火灾安全意识培训和演练。</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 xml:space="preserve">  2）意外触电防控</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 xml:space="preserve">  各部门经常检查电气设备和线路的安全状况，发现问题及时维修或更换，防止因短路、超负荷等，下班前对用电器具进行检查，防止电源没有切断的情况，配电及用电场所均张贴有明显的警示标志—“禁止触摸，有电危险，当心触电”，电气作业有专业的电工操作，并配有绝缘装置。</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 xml:space="preserve">  3）急救应对</w:t>
            </w:r>
            <w:r>
              <w:rPr>
                <w:rFonts w:hint="eastAsia" w:ascii="宋体" w:hAnsi="宋体" w:cs="宋体"/>
                <w:sz w:val="21"/>
                <w:szCs w:val="21"/>
                <w:lang w:val="en-US" w:eastAsia="zh-CN"/>
              </w:rPr>
              <w:tab/>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公司现场配备有创口贴、消暑、止痛及纱布等急救用品，并对其数量、保质期等予以跟进管控。</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 xml:space="preserve">  4）对相关方施加影响</w:t>
            </w:r>
          </w:p>
          <w:p>
            <w:pPr>
              <w:numPr>
                <w:ilvl w:val="0"/>
                <w:numId w:val="0"/>
              </w:numPr>
              <w:adjustRightInd w:val="0"/>
              <w:snapToGrid w:val="0"/>
              <w:spacing w:line="360" w:lineRule="auto"/>
              <w:rPr>
                <w:rFonts w:hint="eastAsia" w:ascii="宋体" w:hAnsi="宋体" w:cs="宋体"/>
                <w:sz w:val="21"/>
                <w:szCs w:val="21"/>
                <w:highlight w:val="green"/>
              </w:rPr>
            </w:pPr>
            <w:r>
              <w:rPr>
                <w:rFonts w:hint="eastAsia" w:ascii="宋体" w:hAnsi="宋体" w:cs="宋体"/>
                <w:sz w:val="21"/>
                <w:szCs w:val="21"/>
                <w:lang w:val="en-US" w:eastAsia="zh-CN"/>
              </w:rPr>
              <w:t xml:space="preserve">  组织对进入场所内的供方送货员、访客，视情况由安保人员或受访人提醒、签订安全协议等方式，告知相关遵守相应的运行准则，以防止外来人员受到人身伤害或职业健康安危害。</w:t>
            </w:r>
          </w:p>
          <w:p>
            <w:pPr>
              <w:numPr>
                <w:ilvl w:val="0"/>
                <w:numId w:val="0"/>
              </w:numPr>
              <w:adjustRightInd w:val="0"/>
              <w:snapToGrid w:val="0"/>
              <w:spacing w:line="360" w:lineRule="auto"/>
              <w:ind w:left="0" w:leftChars="0" w:firstLine="0" w:firstLineChars="0"/>
              <w:rPr>
                <w:rFonts w:hint="eastAsia" w:ascii="宋体" w:hAnsi="宋体" w:eastAsia="宋体" w:cs="宋体"/>
                <w:kern w:val="2"/>
                <w:sz w:val="21"/>
                <w:szCs w:val="21"/>
                <w:lang w:val="en-US" w:eastAsia="zh-CN" w:bidi="ar"/>
              </w:rPr>
            </w:pPr>
          </w:p>
        </w:tc>
        <w:tc>
          <w:tcPr>
            <w:tcW w:w="1437" w:type="dxa"/>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rPr>
                <w:rFonts w:hint="eastAsia" w:ascii="宋体" w:hAnsi="宋体" w:eastAsia="宋体" w:cs="Times New Roman"/>
                <w:kern w:val="2"/>
                <w:sz w:val="21"/>
                <w:szCs w:val="21"/>
                <w:lang w:val="en-US" w:eastAsia="zh-CN" w:bidi="ar-SA"/>
              </w:rPr>
            </w:pPr>
            <w:r>
              <w:rPr>
                <w:rFonts w:hint="eastAsia" w:ascii="宋体" w:hAnsi="宋体" w:cs="新宋体"/>
                <w:sz w:val="21"/>
                <w:szCs w:val="21"/>
              </w:rPr>
              <w:t>应急准备和响应</w:t>
            </w:r>
          </w:p>
        </w:tc>
        <w:tc>
          <w:tcPr>
            <w:tcW w:w="1311" w:type="dxa"/>
            <w:vAlign w:val="center"/>
          </w:tcPr>
          <w:p>
            <w:pPr>
              <w:rPr>
                <w:rFonts w:hint="eastAsia" w:ascii="宋体" w:hAnsi="宋体" w:eastAsia="宋体" w:cs="Times New Roman"/>
                <w:kern w:val="2"/>
                <w:sz w:val="21"/>
                <w:szCs w:val="21"/>
                <w:lang w:val="en-US" w:eastAsia="zh-CN" w:bidi="ar-SA"/>
              </w:rPr>
            </w:pPr>
            <w:r>
              <w:rPr>
                <w:rFonts w:hint="eastAsia" w:ascii="宋体" w:hAnsi="宋体" w:cs="新宋体"/>
                <w:sz w:val="21"/>
                <w:szCs w:val="21"/>
              </w:rPr>
              <w:t>S4.4.7</w:t>
            </w:r>
          </w:p>
        </w:tc>
        <w:tc>
          <w:tcPr>
            <w:tcW w:w="10152" w:type="dxa"/>
            <w:vAlign w:val="center"/>
          </w:tcPr>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查见：《应急准备和响应程序》、《消防火灾应急疏散预案》、《突发事件应急处置预案》等。</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查见：消防演练实况记录：由行政部组织相关人员于2020年4月21日在公司内进行了火灾消防演练。</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查，现场能提供以上演练记录及演练效果评估报告。通过演练，公司员工的安全逃生意识有明显的改善和较大提高。使员工掌握了安全逃生的方式和路径，员工能按预案执行和获救等。</w:t>
            </w:r>
          </w:p>
          <w:p>
            <w:pPr>
              <w:numPr>
                <w:ilvl w:val="0"/>
                <w:numId w:val="0"/>
              </w:numPr>
              <w:adjustRightInd w:val="0"/>
              <w:snapToGrid w:val="0"/>
              <w:spacing w:line="360" w:lineRule="auto"/>
              <w:ind w:left="0" w:leftChars="0" w:firstLine="0" w:firstLineChars="0"/>
              <w:rPr>
                <w:rFonts w:hint="eastAsia" w:ascii="宋体" w:hAnsi="宋体" w:eastAsia="宋体" w:cs="宋体"/>
                <w:kern w:val="2"/>
                <w:sz w:val="21"/>
                <w:szCs w:val="21"/>
                <w:lang w:val="en-US" w:eastAsia="zh-CN" w:bidi="ar"/>
              </w:rPr>
            </w:pPr>
            <w:r>
              <w:rPr>
                <w:rFonts w:hint="eastAsia" w:ascii="宋体" w:hAnsi="宋体" w:cs="宋体"/>
                <w:sz w:val="21"/>
                <w:szCs w:val="21"/>
                <w:lang w:val="en-US" w:eastAsia="zh-CN"/>
              </w:rPr>
              <w:t>应急准备：在公司办公区域，按要求配置的灭火器和消防栓。</w:t>
            </w:r>
          </w:p>
        </w:tc>
        <w:tc>
          <w:tcPr>
            <w:tcW w:w="1437" w:type="dxa"/>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trPr>
        <w:tc>
          <w:tcPr>
            <w:tcW w:w="1809" w:type="dxa"/>
            <w:vAlign w:val="center"/>
          </w:tcPr>
          <w:p>
            <w:pPr>
              <w:rPr>
                <w:rFonts w:hint="eastAsia" w:ascii="宋体" w:hAnsi="宋体" w:eastAsia="宋体" w:cs="新宋体"/>
                <w:kern w:val="2"/>
                <w:sz w:val="21"/>
                <w:szCs w:val="21"/>
                <w:lang w:val="en-US" w:eastAsia="zh-CN" w:bidi="ar-SA"/>
              </w:rPr>
            </w:pPr>
            <w:r>
              <w:rPr>
                <w:rFonts w:hint="eastAsia" w:ascii="宋体" w:hAnsi="宋体" w:cs="新宋体"/>
                <w:sz w:val="21"/>
                <w:szCs w:val="21"/>
              </w:rPr>
              <w:t>监视、测量</w:t>
            </w:r>
          </w:p>
        </w:tc>
        <w:tc>
          <w:tcPr>
            <w:tcW w:w="1311" w:type="dxa"/>
            <w:vAlign w:val="center"/>
          </w:tcPr>
          <w:p>
            <w:pPr>
              <w:numPr>
                <w:ilvl w:val="0"/>
                <w:numId w:val="0"/>
              </w:numPr>
              <w:adjustRightInd w:val="0"/>
              <w:snapToGrid w:val="0"/>
              <w:spacing w:line="360" w:lineRule="auto"/>
              <w:ind w:left="0" w:leftChars="0" w:firstLine="0" w:firstLineChars="0"/>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S4.5.1</w:t>
            </w:r>
          </w:p>
        </w:tc>
        <w:tc>
          <w:tcPr>
            <w:tcW w:w="10152" w:type="dxa"/>
            <w:vAlign w:val="center"/>
          </w:tcPr>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查《绩效测量与监测控制程序》和管理文件。</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查公司消防设备运行检查记录表</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2020年1月-6月份，公司对消防器材、用电安全及劳动保护进行了检查，均合格。</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检查人：王云倩</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查《安全检查月检记录》，由行政部组织实施对公司各部门的办公区域和服务现场进行监控检查，每月一次。</w:t>
            </w:r>
          </w:p>
          <w:p>
            <w:pPr>
              <w:numPr>
                <w:ilvl w:val="0"/>
                <w:numId w:val="0"/>
              </w:num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职工健康体检报告</w:t>
            </w:r>
          </w:p>
          <w:p>
            <w:pPr>
              <w:numPr>
                <w:ilvl w:val="0"/>
                <w:numId w:val="0"/>
              </w:numPr>
              <w:adjustRightInd w:val="0"/>
              <w:snapToGrid w:val="0"/>
              <w:spacing w:line="360" w:lineRule="auto"/>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抽查，冲压工：汪云芬、王敏、葛灿霞、朱美华、严迎春、由南通博荣门诊部出具的编号：苏卫职技字[2019]第J00257号《职业健康检查报告书》，健康体检记录：检查项目包括双耳听力在内的相关检查均未见异常。</w:t>
            </w:r>
          </w:p>
        </w:tc>
        <w:tc>
          <w:tcPr>
            <w:tcW w:w="1437" w:type="dxa"/>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rPr>
                <w:rFonts w:hint="eastAsia" w:ascii="宋体" w:hAnsi="宋体" w:eastAsia="宋体" w:cs="新宋体"/>
                <w:kern w:val="2"/>
                <w:sz w:val="21"/>
                <w:szCs w:val="21"/>
                <w:lang w:val="en-US" w:eastAsia="zh-CN" w:bidi="ar-SA"/>
              </w:rPr>
            </w:pPr>
            <w:r>
              <w:rPr>
                <w:rFonts w:hint="eastAsia" w:ascii="宋体" w:hAnsi="宋体" w:cs="新宋体"/>
                <w:sz w:val="21"/>
                <w:szCs w:val="21"/>
              </w:rPr>
              <w:t>事件调查、不符合、纠正措施与预防措施</w:t>
            </w:r>
          </w:p>
        </w:tc>
        <w:tc>
          <w:tcPr>
            <w:tcW w:w="1311" w:type="dxa"/>
            <w:vAlign w:val="center"/>
          </w:tcPr>
          <w:p>
            <w:pPr>
              <w:rPr>
                <w:rFonts w:hint="eastAsia" w:ascii="宋体" w:hAnsi="宋体"/>
                <w:sz w:val="21"/>
                <w:szCs w:val="21"/>
              </w:rPr>
            </w:pPr>
            <w:r>
              <w:rPr>
                <w:rFonts w:hint="eastAsia" w:ascii="宋体" w:hAnsi="宋体"/>
                <w:sz w:val="21"/>
                <w:szCs w:val="21"/>
              </w:rPr>
              <w:t>S4.5.3</w:t>
            </w:r>
          </w:p>
          <w:p>
            <w:pPr>
              <w:rPr>
                <w:rFonts w:hint="eastAsia" w:ascii="宋体" w:hAnsi="宋体" w:eastAsia="宋体" w:cs="新宋体"/>
                <w:kern w:val="2"/>
                <w:sz w:val="21"/>
                <w:szCs w:val="21"/>
                <w:lang w:val="en-US" w:eastAsia="zh-CN" w:bidi="ar-SA"/>
              </w:rPr>
            </w:pPr>
          </w:p>
        </w:tc>
        <w:tc>
          <w:tcPr>
            <w:tcW w:w="10152" w:type="dxa"/>
            <w:vAlign w:val="center"/>
          </w:tcPr>
          <w:p>
            <w:pPr>
              <w:spacing w:line="400" w:lineRule="atLeast"/>
              <w:rPr>
                <w:rFonts w:ascii="宋体" w:hAnsi="宋体"/>
                <w:sz w:val="21"/>
                <w:szCs w:val="21"/>
              </w:rPr>
            </w:pPr>
            <w:r>
              <w:rPr>
                <w:rFonts w:hint="eastAsia" w:ascii="宋体" w:hAnsi="宋体"/>
                <w:sz w:val="21"/>
                <w:szCs w:val="21"/>
              </w:rPr>
              <w:t>公司制定系列程序文件《管理评审程序》、《不合格品控制程序》、《纠正预防措施控制程序》及《内部审核控制程序》等，对持续改进的过程予以规定，以实现职业健康安全管理体系及产品符合性的持续改进。持续改进的过程包含持续改进的提出、立项、不合格的原因的分析、纠正措施的确定、跟踪和评价及负责部门和人员职责等。</w:t>
            </w:r>
          </w:p>
          <w:p>
            <w:pPr>
              <w:spacing w:line="400" w:lineRule="atLeast"/>
              <w:rPr>
                <w:rFonts w:hint="eastAsia" w:ascii="宋体" w:hAnsi="宋体"/>
                <w:sz w:val="21"/>
                <w:szCs w:val="21"/>
              </w:rPr>
            </w:pPr>
            <w:r>
              <w:rPr>
                <w:rFonts w:hint="eastAsia" w:ascii="宋体" w:hAnsi="宋体"/>
                <w:sz w:val="21"/>
                <w:szCs w:val="21"/>
              </w:rPr>
              <w:t>公司通过方针、目标的达成分析、内部审核结果、数据资料统计分析、纠正和预防措施和管理评审等方式，以推动职业健康安全管理体系的持续改进。公司主要按策划的管理手册、程序文件等实施运行，主要采用内审、管理评审、数据分析、纠正和预防措施、方针和目标等来实现对职业健康安全管理体系的改进，另外主要通过日常工作中发现的问题及时予以调整解决来实现。</w:t>
            </w:r>
          </w:p>
          <w:p>
            <w:pPr>
              <w:rPr>
                <w:rFonts w:hint="eastAsia" w:ascii="宋体" w:hAnsi="宋体" w:eastAsia="宋体" w:cs="Times New Roman"/>
                <w:kern w:val="2"/>
                <w:sz w:val="21"/>
                <w:szCs w:val="21"/>
                <w:highlight w:val="green"/>
                <w:lang w:val="en-US" w:eastAsia="zh-CN" w:bidi="ar-SA"/>
              </w:rPr>
            </w:pPr>
          </w:p>
        </w:tc>
        <w:tc>
          <w:tcPr>
            <w:tcW w:w="1437" w:type="dxa"/>
          </w:tcPr>
          <w:p>
            <w:pPr>
              <w:spacing w:line="360" w:lineRule="auto"/>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rPr>
                <w:rFonts w:hint="eastAsia" w:ascii="宋体" w:hAnsi="宋体" w:eastAsia="宋体" w:cs="新宋体"/>
                <w:kern w:val="2"/>
                <w:sz w:val="21"/>
                <w:szCs w:val="21"/>
                <w:lang w:val="en-US" w:eastAsia="zh-CN" w:bidi="ar-SA"/>
              </w:rPr>
            </w:pPr>
            <w:r>
              <w:rPr>
                <w:rFonts w:hint="eastAsia" w:ascii="宋体" w:hAnsi="宋体" w:cs="新宋体"/>
                <w:sz w:val="21"/>
                <w:szCs w:val="21"/>
              </w:rPr>
              <w:t>OHSMS运行控制相关财务支出证据</w:t>
            </w:r>
          </w:p>
        </w:tc>
        <w:tc>
          <w:tcPr>
            <w:tcW w:w="1311" w:type="dxa"/>
            <w:vAlign w:val="center"/>
          </w:tcPr>
          <w:p>
            <w:pPr>
              <w:rPr>
                <w:rFonts w:hint="eastAsia" w:ascii="宋体" w:hAnsi="宋体" w:eastAsia="宋体" w:cs="新宋体"/>
                <w:kern w:val="2"/>
                <w:sz w:val="21"/>
                <w:szCs w:val="21"/>
                <w:lang w:val="en-US" w:eastAsia="zh-CN" w:bidi="ar-SA"/>
              </w:rPr>
            </w:pPr>
          </w:p>
        </w:tc>
        <w:tc>
          <w:tcPr>
            <w:tcW w:w="10152" w:type="dxa"/>
            <w:vAlign w:val="center"/>
          </w:tcPr>
          <w:p>
            <w:pPr>
              <w:rPr>
                <w:rFonts w:hint="eastAsia" w:ascii="宋体" w:hAnsi="宋体" w:eastAsia="宋体" w:cs="Times New Roman"/>
                <w:kern w:val="2"/>
                <w:sz w:val="21"/>
                <w:szCs w:val="21"/>
                <w:highlight w:val="green"/>
                <w:lang w:val="en-US" w:eastAsia="zh-CN" w:bidi="ar-SA"/>
              </w:rPr>
            </w:pPr>
            <w:r>
              <w:rPr>
                <w:rFonts w:hint="eastAsia" w:ascii="宋体" w:hAnsi="宋体"/>
                <w:sz w:val="21"/>
                <w:szCs w:val="21"/>
              </w:rPr>
              <w:t>提供有20</w:t>
            </w:r>
            <w:r>
              <w:rPr>
                <w:rFonts w:hint="eastAsia" w:ascii="宋体" w:hAnsi="宋体"/>
                <w:sz w:val="21"/>
                <w:szCs w:val="21"/>
                <w:lang w:val="en-US" w:eastAsia="zh-CN"/>
              </w:rPr>
              <w:t>20</w:t>
            </w:r>
            <w:r>
              <w:rPr>
                <w:rFonts w:hint="eastAsia" w:ascii="宋体" w:hAnsi="宋体"/>
                <w:sz w:val="21"/>
                <w:szCs w:val="21"/>
              </w:rPr>
              <w:t>年支出清单：支出项目有购置灭火器、消防安全培训和演练、劳保用品、保险等共计约</w:t>
            </w:r>
            <w:r>
              <w:rPr>
                <w:rFonts w:hint="eastAsia" w:ascii="宋体" w:hAnsi="宋体"/>
                <w:sz w:val="21"/>
                <w:szCs w:val="21"/>
                <w:lang w:val="en-US" w:eastAsia="zh-CN"/>
              </w:rPr>
              <w:t>2</w:t>
            </w:r>
            <w:r>
              <w:rPr>
                <w:rFonts w:hint="eastAsia" w:ascii="宋体" w:hAnsi="宋体"/>
                <w:sz w:val="21"/>
                <w:szCs w:val="21"/>
              </w:rPr>
              <w:t>0000元。</w:t>
            </w:r>
          </w:p>
        </w:tc>
        <w:tc>
          <w:tcPr>
            <w:tcW w:w="1437" w:type="dxa"/>
          </w:tcPr>
          <w:p>
            <w:pPr>
              <w:spacing w:line="360" w:lineRule="auto"/>
              <w:rPr>
                <w:rFonts w:ascii="楷体" w:hAnsi="楷体" w:eastAsia="楷体"/>
                <w:sz w:val="24"/>
                <w:szCs w:val="24"/>
              </w:rPr>
            </w:pPr>
          </w:p>
        </w:tc>
      </w:tr>
    </w:tbl>
    <w:p>
      <w:pPr>
        <w:spacing w:line="360" w:lineRule="auto"/>
        <w:rPr>
          <w:rFonts w:ascii="楷体" w:hAnsi="楷体" w:eastAsia="楷体"/>
          <w:sz w:val="24"/>
          <w:szCs w:val="24"/>
        </w:rPr>
      </w:pPr>
      <w:r>
        <w:rPr>
          <w:rFonts w:ascii="楷体" w:hAnsi="楷体" w:eastAsia="楷体"/>
          <w:sz w:val="24"/>
          <w:szCs w:val="24"/>
        </w:rPr>
        <w:ptab w:relativeTo="margin" w:alignment="center" w:leader="none"/>
      </w:r>
    </w:p>
    <w:p>
      <w:pPr>
        <w:spacing w:line="360" w:lineRule="auto"/>
        <w:rPr>
          <w:rFonts w:ascii="楷体" w:hAnsi="楷体" w:eastAsia="楷体"/>
          <w:sz w:val="24"/>
          <w:szCs w:val="24"/>
        </w:rPr>
      </w:pPr>
    </w:p>
    <w:p>
      <w:pPr>
        <w:pStyle w:val="6"/>
        <w:spacing w:line="360" w:lineRule="auto"/>
        <w:rPr>
          <w:rFonts w:ascii="楷体" w:hAnsi="楷体" w:eastAsia="楷体"/>
          <w:sz w:val="24"/>
          <w:szCs w:val="24"/>
        </w:rPr>
      </w:pPr>
      <w:r>
        <w:rPr>
          <w:rFonts w:hint="eastAsia" w:ascii="楷体" w:hAnsi="楷体" w:eastAsia="楷体"/>
          <w:sz w:val="24"/>
          <w:szCs w:val="24"/>
        </w:rPr>
        <w:t>说明：不符合标注N</w:t>
      </w:r>
    </w:p>
    <w:sectPr>
      <w:headerReference r:id="rId3" w:type="default"/>
      <w:footerReference r:id="rId4" w:type="default"/>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方正仿宋简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900"/>
    </w:sdtPr>
    <w:sdtContent>
      <w:sdt>
        <w:sdtPr>
          <w:id w:val="171357217"/>
        </w:sdtPr>
        <w:sdtContent>
          <w:p>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sdtContent>
      </w:sdt>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tabs>
        <w:tab w:val="left" w:pos="8910"/>
        <w:tab w:val="left" w:pos="9142"/>
        <w:tab w:val="clear" w:pos="4153"/>
      </w:tabs>
      <w:spacing w:line="320" w:lineRule="exact"/>
      <w:ind w:left="-86" w:leftChars="-41" w:firstLine="810" w:firstLineChars="450"/>
      <w:jc w:val="left"/>
      <w:rPr>
        <w:rStyle w:val="14"/>
        <w:rFonts w:hint="default"/>
      </w:rPr>
    </w:pP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4"/>
        <w:rFonts w:hint="default"/>
      </w:rPr>
      <w:t>北京国标联合认证有限公司</w:t>
    </w:r>
    <w:r>
      <w:rPr>
        <w:rStyle w:val="14"/>
        <w:rFonts w:hint="default"/>
      </w:rPr>
      <w:tab/>
    </w:r>
    <w:r>
      <w:rPr>
        <w:rStyle w:val="14"/>
        <w:rFonts w:hint="default"/>
      </w:rPr>
      <w:tab/>
    </w:r>
    <w:r>
      <w:rPr>
        <w:rStyle w:val="14"/>
        <w:rFonts w:hint="default"/>
      </w:rPr>
      <w:tab/>
    </w:r>
  </w:p>
  <w:p>
    <w:pPr>
      <w:pStyle w:val="7"/>
      <w:pBdr>
        <w:bottom w:val="none" w:color="auto" w:sz="0" w:space="1"/>
      </w:pBdr>
      <w:spacing w:line="320" w:lineRule="exact"/>
      <w:jc w:val="left"/>
    </w:pPr>
    <w:r>
      <w:pict>
        <v:shape id="文本框 1" o:spid="_x0000_s4097" o:spt="202" type="#_x0000_t202" style="position:absolute;left:0pt;margin-left:554.75pt;margin-top:2.2pt;height:20.2pt;width:172pt;z-index:251661312;mso-width-relative:page;mso-height-relative:page;" stroked="f" coordsize="21600,21600"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v:path/>
          <v:fill focussize="0,0"/>
          <v:stroke on="f" joinstyle="miter"/>
          <v:imagedata o:title=""/>
          <o:lock v:ext="edit"/>
          <v:textbox>
            <w:txbxContent>
              <w:p>
                <w:pPr>
                  <w:rPr>
                    <w:rFonts w:hint="eastAsia"/>
                    <w:sz w:val="18"/>
                    <w:szCs w:val="18"/>
                  </w:rPr>
                </w:pPr>
                <w:r>
                  <w:rPr>
                    <w:rFonts w:hint="eastAsia"/>
                    <w:sz w:val="18"/>
                    <w:szCs w:val="18"/>
                  </w:rPr>
                  <w:t>D ISC-B-II-12管理体系审核记录表</w:t>
                </w:r>
              </w:p>
            </w:txbxContent>
          </v:textbox>
        </v:shape>
      </w:pict>
    </w:r>
    <w:r>
      <w:rPr>
        <w:rStyle w:val="14"/>
        <w:rFonts w:hint="default"/>
      </w:rPr>
      <w:t xml:space="preserve">        </w:t>
    </w:r>
    <w:r>
      <w:rPr>
        <w:rStyle w:val="14"/>
        <w:rFonts w:hint="default"/>
        <w:w w:val="90"/>
      </w:rPr>
      <w:t>Beijing International Standard united Certification Co.,Ltd.</w:t>
    </w:r>
    <w:r>
      <w:rPr>
        <w:rStyle w:val="14"/>
        <w:rFonts w:hint="default"/>
        <w:w w:val="90"/>
        <w:szCs w:val="21"/>
      </w:rPr>
      <w:t xml:space="preserve">  </w:t>
    </w:r>
    <w:r>
      <w:rPr>
        <w:rStyle w:val="14"/>
        <w:rFonts w:hint="default"/>
        <w:w w:val="90"/>
        <w:sz w:val="20"/>
      </w:rPr>
      <w:t xml:space="preserve"> </w:t>
    </w:r>
    <w:r>
      <w:rPr>
        <w:rStyle w:val="14"/>
        <w:rFonts w:hint="default"/>
        <w:w w:val="90"/>
      </w:rPr>
      <w:t xml:space="preserve">                   </w:t>
    </w:r>
  </w:p>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467423"/>
    <w:multiLevelType w:val="singleLevel"/>
    <w:tmpl w:val="C8467423"/>
    <w:lvl w:ilvl="0" w:tentative="0">
      <w:start w:val="2"/>
      <w:numFmt w:val="decimal"/>
      <w:lvlText w:val="%1)"/>
      <w:lvlJc w:val="left"/>
      <w:pPr>
        <w:tabs>
          <w:tab w:val="left" w:pos="312"/>
        </w:tabs>
      </w:pPr>
    </w:lvl>
  </w:abstractNum>
  <w:abstractNum w:abstractNumId="1">
    <w:nsid w:val="4529A78E"/>
    <w:multiLevelType w:val="singleLevel"/>
    <w:tmpl w:val="4529A78E"/>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973B4"/>
    <w:rsid w:val="00004817"/>
    <w:rsid w:val="000214B6"/>
    <w:rsid w:val="0002531E"/>
    <w:rsid w:val="0003033D"/>
    <w:rsid w:val="0003373A"/>
    <w:rsid w:val="00040870"/>
    <w:rsid w:val="000412F6"/>
    <w:rsid w:val="000509DA"/>
    <w:rsid w:val="0005199E"/>
    <w:rsid w:val="0005359F"/>
    <w:rsid w:val="0005697E"/>
    <w:rsid w:val="000579CF"/>
    <w:rsid w:val="000801F3"/>
    <w:rsid w:val="00082216"/>
    <w:rsid w:val="00082398"/>
    <w:rsid w:val="000849D2"/>
    <w:rsid w:val="000877AB"/>
    <w:rsid w:val="00093FDD"/>
    <w:rsid w:val="00095268"/>
    <w:rsid w:val="000A3D3F"/>
    <w:rsid w:val="000A5E44"/>
    <w:rsid w:val="000B1394"/>
    <w:rsid w:val="000B40BD"/>
    <w:rsid w:val="000B72B6"/>
    <w:rsid w:val="000C123B"/>
    <w:rsid w:val="000D5401"/>
    <w:rsid w:val="000D697A"/>
    <w:rsid w:val="000E2B69"/>
    <w:rsid w:val="000E4FBB"/>
    <w:rsid w:val="000E7EF7"/>
    <w:rsid w:val="000F35F1"/>
    <w:rsid w:val="001022F1"/>
    <w:rsid w:val="001037D5"/>
    <w:rsid w:val="001100F4"/>
    <w:rsid w:val="00124A3B"/>
    <w:rsid w:val="00145688"/>
    <w:rsid w:val="00151406"/>
    <w:rsid w:val="00156AF7"/>
    <w:rsid w:val="001677C1"/>
    <w:rsid w:val="00176411"/>
    <w:rsid w:val="00180285"/>
    <w:rsid w:val="00181073"/>
    <w:rsid w:val="001918ED"/>
    <w:rsid w:val="00192A7F"/>
    <w:rsid w:val="001A2D7F"/>
    <w:rsid w:val="001A3DF8"/>
    <w:rsid w:val="001A572D"/>
    <w:rsid w:val="001D4AD8"/>
    <w:rsid w:val="001D54FF"/>
    <w:rsid w:val="001E1974"/>
    <w:rsid w:val="001F581C"/>
    <w:rsid w:val="001F5A0E"/>
    <w:rsid w:val="00202BC2"/>
    <w:rsid w:val="00214113"/>
    <w:rsid w:val="00215081"/>
    <w:rsid w:val="002221D5"/>
    <w:rsid w:val="00222532"/>
    <w:rsid w:val="00233B02"/>
    <w:rsid w:val="00234FA5"/>
    <w:rsid w:val="00237445"/>
    <w:rsid w:val="00260151"/>
    <w:rsid w:val="002651A6"/>
    <w:rsid w:val="0028428D"/>
    <w:rsid w:val="002973F0"/>
    <w:rsid w:val="002975C1"/>
    <w:rsid w:val="002A0E6E"/>
    <w:rsid w:val="002A33CC"/>
    <w:rsid w:val="002B1808"/>
    <w:rsid w:val="002C1ACE"/>
    <w:rsid w:val="002C3E0D"/>
    <w:rsid w:val="002C4682"/>
    <w:rsid w:val="002D41FB"/>
    <w:rsid w:val="002E0587"/>
    <w:rsid w:val="002E0FDE"/>
    <w:rsid w:val="002E1E1D"/>
    <w:rsid w:val="002F47F4"/>
    <w:rsid w:val="00306C8C"/>
    <w:rsid w:val="00313D57"/>
    <w:rsid w:val="00321444"/>
    <w:rsid w:val="003224A1"/>
    <w:rsid w:val="00326FC1"/>
    <w:rsid w:val="00331CC3"/>
    <w:rsid w:val="00337922"/>
    <w:rsid w:val="00340867"/>
    <w:rsid w:val="00342857"/>
    <w:rsid w:val="0034579A"/>
    <w:rsid w:val="003466A4"/>
    <w:rsid w:val="00355BF0"/>
    <w:rsid w:val="003608CB"/>
    <w:rsid w:val="0036159B"/>
    <w:rsid w:val="003627B6"/>
    <w:rsid w:val="003708D5"/>
    <w:rsid w:val="003777AD"/>
    <w:rsid w:val="0038061A"/>
    <w:rsid w:val="0038063B"/>
    <w:rsid w:val="00380837"/>
    <w:rsid w:val="003812DF"/>
    <w:rsid w:val="00382ED0"/>
    <w:rsid w:val="00382EDD"/>
    <w:rsid w:val="003836CA"/>
    <w:rsid w:val="00385573"/>
    <w:rsid w:val="00386A98"/>
    <w:rsid w:val="00394C7B"/>
    <w:rsid w:val="003A1E9C"/>
    <w:rsid w:val="003A7C94"/>
    <w:rsid w:val="003D0E86"/>
    <w:rsid w:val="003D386A"/>
    <w:rsid w:val="003D60E0"/>
    <w:rsid w:val="003D6BE3"/>
    <w:rsid w:val="003E0E52"/>
    <w:rsid w:val="003F20A5"/>
    <w:rsid w:val="00400B96"/>
    <w:rsid w:val="00405D5F"/>
    <w:rsid w:val="00410914"/>
    <w:rsid w:val="00415AA3"/>
    <w:rsid w:val="00420C60"/>
    <w:rsid w:val="00430432"/>
    <w:rsid w:val="00433759"/>
    <w:rsid w:val="0043494E"/>
    <w:rsid w:val="004414A5"/>
    <w:rsid w:val="00456697"/>
    <w:rsid w:val="00465FE1"/>
    <w:rsid w:val="00472E17"/>
    <w:rsid w:val="004750FD"/>
    <w:rsid w:val="00475491"/>
    <w:rsid w:val="004869FB"/>
    <w:rsid w:val="00491735"/>
    <w:rsid w:val="00494A46"/>
    <w:rsid w:val="004B217F"/>
    <w:rsid w:val="004B3E7F"/>
    <w:rsid w:val="004C07FE"/>
    <w:rsid w:val="004C1E54"/>
    <w:rsid w:val="004C3A5F"/>
    <w:rsid w:val="004D3E4C"/>
    <w:rsid w:val="004D4458"/>
    <w:rsid w:val="004E59CF"/>
    <w:rsid w:val="004E5BD5"/>
    <w:rsid w:val="004F185D"/>
    <w:rsid w:val="005056ED"/>
    <w:rsid w:val="00517E4C"/>
    <w:rsid w:val="00521CF0"/>
    <w:rsid w:val="0053208B"/>
    <w:rsid w:val="00534814"/>
    <w:rsid w:val="00536930"/>
    <w:rsid w:val="00551F02"/>
    <w:rsid w:val="00560A2A"/>
    <w:rsid w:val="00564E53"/>
    <w:rsid w:val="00583277"/>
    <w:rsid w:val="00592C3E"/>
    <w:rsid w:val="005A000F"/>
    <w:rsid w:val="005B173D"/>
    <w:rsid w:val="005B6888"/>
    <w:rsid w:val="005C0D1F"/>
    <w:rsid w:val="005C2244"/>
    <w:rsid w:val="005D0D01"/>
    <w:rsid w:val="005D22A5"/>
    <w:rsid w:val="005F6C65"/>
    <w:rsid w:val="00600F02"/>
    <w:rsid w:val="0060444D"/>
    <w:rsid w:val="006162F1"/>
    <w:rsid w:val="006361FB"/>
    <w:rsid w:val="00637D1A"/>
    <w:rsid w:val="00642776"/>
    <w:rsid w:val="00644FE2"/>
    <w:rsid w:val="00645FB8"/>
    <w:rsid w:val="0064730A"/>
    <w:rsid w:val="00651986"/>
    <w:rsid w:val="006545E8"/>
    <w:rsid w:val="00664736"/>
    <w:rsid w:val="00665980"/>
    <w:rsid w:val="0067640C"/>
    <w:rsid w:val="006836D9"/>
    <w:rsid w:val="00695256"/>
    <w:rsid w:val="00695570"/>
    <w:rsid w:val="00696AF1"/>
    <w:rsid w:val="006A017F"/>
    <w:rsid w:val="006A3B31"/>
    <w:rsid w:val="006A68F3"/>
    <w:rsid w:val="006B4127"/>
    <w:rsid w:val="006C24BF"/>
    <w:rsid w:val="006C40B9"/>
    <w:rsid w:val="006D2E8F"/>
    <w:rsid w:val="006E407E"/>
    <w:rsid w:val="006E678B"/>
    <w:rsid w:val="0070367F"/>
    <w:rsid w:val="00712F3C"/>
    <w:rsid w:val="00714173"/>
    <w:rsid w:val="0071649B"/>
    <w:rsid w:val="007170AA"/>
    <w:rsid w:val="00732B66"/>
    <w:rsid w:val="00737C8F"/>
    <w:rsid w:val="007406DE"/>
    <w:rsid w:val="00743E79"/>
    <w:rsid w:val="00744BEA"/>
    <w:rsid w:val="00751532"/>
    <w:rsid w:val="00751C37"/>
    <w:rsid w:val="0075769B"/>
    <w:rsid w:val="0076714E"/>
    <w:rsid w:val="007757F3"/>
    <w:rsid w:val="007815DC"/>
    <w:rsid w:val="007A47FB"/>
    <w:rsid w:val="007A621C"/>
    <w:rsid w:val="007A637D"/>
    <w:rsid w:val="007B106B"/>
    <w:rsid w:val="007B275D"/>
    <w:rsid w:val="007D25A2"/>
    <w:rsid w:val="007E6AEB"/>
    <w:rsid w:val="007F01EC"/>
    <w:rsid w:val="007F7DF2"/>
    <w:rsid w:val="008079FA"/>
    <w:rsid w:val="00810D58"/>
    <w:rsid w:val="008252FE"/>
    <w:rsid w:val="00832BCD"/>
    <w:rsid w:val="00835B31"/>
    <w:rsid w:val="00841149"/>
    <w:rsid w:val="008646DE"/>
    <w:rsid w:val="00864902"/>
    <w:rsid w:val="00864BE7"/>
    <w:rsid w:val="00865200"/>
    <w:rsid w:val="00871695"/>
    <w:rsid w:val="00891C25"/>
    <w:rsid w:val="008942F3"/>
    <w:rsid w:val="008973EE"/>
    <w:rsid w:val="008D089D"/>
    <w:rsid w:val="008E097E"/>
    <w:rsid w:val="008F0B04"/>
    <w:rsid w:val="008F7C55"/>
    <w:rsid w:val="00903996"/>
    <w:rsid w:val="00912EC2"/>
    <w:rsid w:val="00930694"/>
    <w:rsid w:val="0093521F"/>
    <w:rsid w:val="0094313D"/>
    <w:rsid w:val="00945042"/>
    <w:rsid w:val="00945677"/>
    <w:rsid w:val="00955B84"/>
    <w:rsid w:val="00962F78"/>
    <w:rsid w:val="009635D2"/>
    <w:rsid w:val="00965D5E"/>
    <w:rsid w:val="0096609F"/>
    <w:rsid w:val="009666D5"/>
    <w:rsid w:val="00971600"/>
    <w:rsid w:val="00984342"/>
    <w:rsid w:val="009973B4"/>
    <w:rsid w:val="00997ED5"/>
    <w:rsid w:val="009A1F39"/>
    <w:rsid w:val="009A2CBA"/>
    <w:rsid w:val="009B7EB8"/>
    <w:rsid w:val="009C6506"/>
    <w:rsid w:val="009E30DA"/>
    <w:rsid w:val="009E6193"/>
    <w:rsid w:val="009E7DD1"/>
    <w:rsid w:val="009F7EED"/>
    <w:rsid w:val="00A138EC"/>
    <w:rsid w:val="00A16BEC"/>
    <w:rsid w:val="00A207A9"/>
    <w:rsid w:val="00A229DB"/>
    <w:rsid w:val="00A40681"/>
    <w:rsid w:val="00A41ECE"/>
    <w:rsid w:val="00A74274"/>
    <w:rsid w:val="00A801DE"/>
    <w:rsid w:val="00A90A22"/>
    <w:rsid w:val="00A971DB"/>
    <w:rsid w:val="00A97734"/>
    <w:rsid w:val="00AA5AAA"/>
    <w:rsid w:val="00AA7F40"/>
    <w:rsid w:val="00AB41FC"/>
    <w:rsid w:val="00AB7D2F"/>
    <w:rsid w:val="00AD1550"/>
    <w:rsid w:val="00AD1604"/>
    <w:rsid w:val="00AD6F34"/>
    <w:rsid w:val="00AE25B0"/>
    <w:rsid w:val="00AF0AAB"/>
    <w:rsid w:val="00AF616B"/>
    <w:rsid w:val="00B01BD1"/>
    <w:rsid w:val="00B0458E"/>
    <w:rsid w:val="00B0685B"/>
    <w:rsid w:val="00B12AD8"/>
    <w:rsid w:val="00B17BD9"/>
    <w:rsid w:val="00B23030"/>
    <w:rsid w:val="00B237B9"/>
    <w:rsid w:val="00B23CAA"/>
    <w:rsid w:val="00B31564"/>
    <w:rsid w:val="00B410EE"/>
    <w:rsid w:val="00B46334"/>
    <w:rsid w:val="00B72B4C"/>
    <w:rsid w:val="00B8202D"/>
    <w:rsid w:val="00B929FD"/>
    <w:rsid w:val="00B94D34"/>
    <w:rsid w:val="00B95B99"/>
    <w:rsid w:val="00B95F69"/>
    <w:rsid w:val="00BC2015"/>
    <w:rsid w:val="00BC5975"/>
    <w:rsid w:val="00BC71B0"/>
    <w:rsid w:val="00BD6B80"/>
    <w:rsid w:val="00BD6CAC"/>
    <w:rsid w:val="00BE073B"/>
    <w:rsid w:val="00BF597E"/>
    <w:rsid w:val="00C003E3"/>
    <w:rsid w:val="00C03098"/>
    <w:rsid w:val="00C14685"/>
    <w:rsid w:val="00C17048"/>
    <w:rsid w:val="00C246F0"/>
    <w:rsid w:val="00C31C73"/>
    <w:rsid w:val="00C43C47"/>
    <w:rsid w:val="00C51A36"/>
    <w:rsid w:val="00C52C62"/>
    <w:rsid w:val="00C548BE"/>
    <w:rsid w:val="00C55228"/>
    <w:rsid w:val="00C65FC6"/>
    <w:rsid w:val="00C67E19"/>
    <w:rsid w:val="00C67E47"/>
    <w:rsid w:val="00C71E85"/>
    <w:rsid w:val="00C80D44"/>
    <w:rsid w:val="00C86F9B"/>
    <w:rsid w:val="00C87FEE"/>
    <w:rsid w:val="00C920A9"/>
    <w:rsid w:val="00CB0B65"/>
    <w:rsid w:val="00CB260B"/>
    <w:rsid w:val="00CC3579"/>
    <w:rsid w:val="00CE2A9E"/>
    <w:rsid w:val="00CE315A"/>
    <w:rsid w:val="00CE7BE1"/>
    <w:rsid w:val="00CF147A"/>
    <w:rsid w:val="00CF1726"/>
    <w:rsid w:val="00CF5BEE"/>
    <w:rsid w:val="00CF6C5C"/>
    <w:rsid w:val="00D06F59"/>
    <w:rsid w:val="00D10EED"/>
    <w:rsid w:val="00D21450"/>
    <w:rsid w:val="00D32C89"/>
    <w:rsid w:val="00D3392D"/>
    <w:rsid w:val="00D427D2"/>
    <w:rsid w:val="00D429D7"/>
    <w:rsid w:val="00D5266A"/>
    <w:rsid w:val="00D55E69"/>
    <w:rsid w:val="00D562F6"/>
    <w:rsid w:val="00D6092B"/>
    <w:rsid w:val="00D6471C"/>
    <w:rsid w:val="00D8388C"/>
    <w:rsid w:val="00D93BCF"/>
    <w:rsid w:val="00D93CE5"/>
    <w:rsid w:val="00DA0605"/>
    <w:rsid w:val="00DA0DF0"/>
    <w:rsid w:val="00DA15B3"/>
    <w:rsid w:val="00DB30A0"/>
    <w:rsid w:val="00DB3A7B"/>
    <w:rsid w:val="00DB49C7"/>
    <w:rsid w:val="00DB6C13"/>
    <w:rsid w:val="00DB7048"/>
    <w:rsid w:val="00DC5D24"/>
    <w:rsid w:val="00DD3D68"/>
    <w:rsid w:val="00DE053D"/>
    <w:rsid w:val="00DE146D"/>
    <w:rsid w:val="00DE2D80"/>
    <w:rsid w:val="00DE6FCE"/>
    <w:rsid w:val="00DF4E02"/>
    <w:rsid w:val="00DF766A"/>
    <w:rsid w:val="00DF76DB"/>
    <w:rsid w:val="00E038E4"/>
    <w:rsid w:val="00E13D9A"/>
    <w:rsid w:val="00E15335"/>
    <w:rsid w:val="00E165C5"/>
    <w:rsid w:val="00E20B39"/>
    <w:rsid w:val="00E2412D"/>
    <w:rsid w:val="00E32D13"/>
    <w:rsid w:val="00E43822"/>
    <w:rsid w:val="00E43B4F"/>
    <w:rsid w:val="00E456D8"/>
    <w:rsid w:val="00E54035"/>
    <w:rsid w:val="00E62996"/>
    <w:rsid w:val="00E63714"/>
    <w:rsid w:val="00E64A51"/>
    <w:rsid w:val="00E910C0"/>
    <w:rsid w:val="00E97424"/>
    <w:rsid w:val="00EA105E"/>
    <w:rsid w:val="00EA55F7"/>
    <w:rsid w:val="00EB0164"/>
    <w:rsid w:val="00EB65F7"/>
    <w:rsid w:val="00EC42F5"/>
    <w:rsid w:val="00ED0F62"/>
    <w:rsid w:val="00EE31A4"/>
    <w:rsid w:val="00EE4E99"/>
    <w:rsid w:val="00EF36E7"/>
    <w:rsid w:val="00EF7613"/>
    <w:rsid w:val="00F013BB"/>
    <w:rsid w:val="00F06D09"/>
    <w:rsid w:val="00F11201"/>
    <w:rsid w:val="00F120D0"/>
    <w:rsid w:val="00F14D99"/>
    <w:rsid w:val="00F32CB9"/>
    <w:rsid w:val="00F33729"/>
    <w:rsid w:val="00F35CD7"/>
    <w:rsid w:val="00F57725"/>
    <w:rsid w:val="00F606E1"/>
    <w:rsid w:val="00F66C40"/>
    <w:rsid w:val="00F6739D"/>
    <w:rsid w:val="00F70635"/>
    <w:rsid w:val="00F83639"/>
    <w:rsid w:val="00F840C3"/>
    <w:rsid w:val="00F856F5"/>
    <w:rsid w:val="00F87714"/>
    <w:rsid w:val="00F93F58"/>
    <w:rsid w:val="00F956F5"/>
    <w:rsid w:val="00FA0833"/>
    <w:rsid w:val="00FA350D"/>
    <w:rsid w:val="00FA40FF"/>
    <w:rsid w:val="00FB03C3"/>
    <w:rsid w:val="00FB5A65"/>
    <w:rsid w:val="00FD2869"/>
    <w:rsid w:val="00FD3F25"/>
    <w:rsid w:val="00FD5EE5"/>
    <w:rsid w:val="00FD72A6"/>
    <w:rsid w:val="00FE09C9"/>
    <w:rsid w:val="108219C2"/>
    <w:rsid w:val="1E8303FD"/>
    <w:rsid w:val="24102922"/>
    <w:rsid w:val="31C55888"/>
    <w:rsid w:val="3BE46CCB"/>
    <w:rsid w:val="49536482"/>
    <w:rsid w:val="4B4B3A66"/>
    <w:rsid w:val="5EA12B9A"/>
    <w:rsid w:val="5FEC1D98"/>
    <w:rsid w:val="6E743C03"/>
    <w:rsid w:val="78F77CE6"/>
    <w:rsid w:val="7A7B72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tabs>
        <w:tab w:val="left" w:pos="3510"/>
        <w:tab w:val="left" w:pos="3585"/>
        <w:tab w:val="center" w:pos="4410"/>
        <w:tab w:val="left" w:pos="4620"/>
        <w:tab w:val="left" w:pos="4830"/>
        <w:tab w:val="left" w:pos="5580"/>
      </w:tabs>
      <w:outlineLvl w:val="1"/>
    </w:pPr>
    <w:rPr>
      <w:b/>
      <w:bCs/>
      <w:sz w:val="32"/>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Normal Indent"/>
    <w:basedOn w:val="1"/>
    <w:qFormat/>
    <w:uiPriority w:val="0"/>
    <w:pPr>
      <w:adjustRightInd w:val="0"/>
      <w:spacing w:line="360" w:lineRule="atLeast"/>
      <w:ind w:left="480"/>
      <w:textAlignment w:val="baseline"/>
    </w:pPr>
    <w:rPr>
      <w:kern w:val="0"/>
    </w:rPr>
  </w:style>
  <w:style w:type="paragraph" w:styleId="4">
    <w:name w:val="Block Text"/>
    <w:basedOn w:val="1"/>
    <w:qFormat/>
    <w:uiPriority w:val="0"/>
    <w:pPr>
      <w:tabs>
        <w:tab w:val="left" w:pos="709"/>
        <w:tab w:val="left" w:pos="1069"/>
        <w:tab w:val="left" w:pos="2149"/>
      </w:tabs>
      <w:ind w:left="1429" w:right="194"/>
    </w:pPr>
    <w:rPr>
      <w:rFonts w:ascii="楷体_GB2312" w:eastAsia="楷体_GB2312" w:cs="Times New Roman"/>
    </w:rPr>
  </w:style>
  <w:style w:type="paragraph" w:styleId="5">
    <w:name w:val="Balloon Text"/>
    <w:basedOn w:val="1"/>
    <w:link w:val="13"/>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rPr>
      <w:rFonts w:cs="Times New Roman"/>
      <w:color w:val="000000"/>
      <w:kern w:val="0"/>
      <w:szCs w:val="24"/>
    </w:rPr>
  </w:style>
  <w:style w:type="character" w:customStyle="1" w:styleId="11">
    <w:name w:val="页眉 Char"/>
    <w:basedOn w:val="10"/>
    <w:link w:val="7"/>
    <w:qFormat/>
    <w:uiPriority w:val="0"/>
    <w:rPr>
      <w:rFonts w:ascii="Times New Roman" w:hAnsi="Times New Roman" w:eastAsia="宋体" w:cs="Times New Roman"/>
      <w:sz w:val="18"/>
      <w:szCs w:val="18"/>
    </w:rPr>
  </w:style>
  <w:style w:type="character" w:customStyle="1" w:styleId="12">
    <w:name w:val="页脚 Char"/>
    <w:basedOn w:val="10"/>
    <w:link w:val="6"/>
    <w:qFormat/>
    <w:uiPriority w:val="99"/>
    <w:rPr>
      <w:rFonts w:ascii="Times New Roman" w:hAnsi="Times New Roman" w:eastAsia="宋体" w:cs="Times New Roman"/>
      <w:sz w:val="18"/>
      <w:szCs w:val="18"/>
    </w:rPr>
  </w:style>
  <w:style w:type="character" w:customStyle="1" w:styleId="13">
    <w:name w:val="批注框文本 Char"/>
    <w:basedOn w:val="10"/>
    <w:link w:val="5"/>
    <w:semiHidden/>
    <w:qFormat/>
    <w:uiPriority w:val="99"/>
    <w:rPr>
      <w:rFonts w:ascii="Times New Roman" w:hAnsi="Times New Roman" w:eastAsia="宋体" w:cs="Times New Roman"/>
      <w:sz w:val="18"/>
      <w:szCs w:val="18"/>
    </w:rPr>
  </w:style>
  <w:style w:type="character" w:customStyle="1" w:styleId="14">
    <w:name w:val="Char Char1"/>
    <w:qFormat/>
    <w:locked/>
    <w:uiPriority w:val="0"/>
    <w:rPr>
      <w:rFonts w:hint="eastAsia" w:ascii="宋体" w:hAnsi="Courier New" w:eastAsia="宋体"/>
      <w:kern w:val="2"/>
      <w:sz w:val="21"/>
      <w:lang w:val="en-US" w:eastAsia="zh-CN" w:bidi="ar-SA"/>
    </w:rPr>
  </w:style>
  <w:style w:type="character" w:customStyle="1" w:styleId="15">
    <w:name w:val="fontstyle01"/>
    <w:basedOn w:val="10"/>
    <w:qFormat/>
    <w:uiPriority w:val="0"/>
    <w:rPr>
      <w:rFonts w:hint="eastAsia" w:ascii="宋体" w:hAnsi="宋体" w:eastAsia="宋体"/>
      <w:color w:val="000000"/>
      <w:sz w:val="24"/>
      <w:szCs w:val="24"/>
    </w:rPr>
  </w:style>
  <w:style w:type="character" w:customStyle="1" w:styleId="16">
    <w:name w:val="fontstyle21"/>
    <w:basedOn w:val="10"/>
    <w:qFormat/>
    <w:uiPriority w:val="0"/>
    <w:rPr>
      <w:rFonts w:hint="default" w:ascii="Times New Roman" w:hAnsi="Times New Roman" w:cs="Times New 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585</Words>
  <Characters>3339</Characters>
  <Lines>27</Lines>
  <Paragraphs>7</Paragraphs>
  <TotalTime>1</TotalTime>
  <ScaleCrop>false</ScaleCrop>
  <LinksUpToDate>false</LinksUpToDate>
  <CharactersWithSpaces>3917</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2015-06-17T12:51:00Z</dcterms:created>
  <dc:creator>微软用户</dc:creator>
  <cp:lastModifiedBy>LIL</cp:lastModifiedBy>
  <dcterms:modified xsi:type="dcterms:W3CDTF">2020-08-16T13:54:34Z</dcterms:modified>
  <cp:revision>518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